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C39FD" w14:textId="77777777" w:rsidR="009A3413" w:rsidRDefault="00F406C8">
      <w:pPr>
        <w:spacing w:after="200"/>
      </w:pPr>
      <w:r>
        <w:rPr>
          <w:rFonts w:ascii="Arial" w:eastAsia="Arial" w:hAnsi="Arial" w:cs="Arial"/>
          <w:b/>
          <w:bCs/>
          <w:sz w:val="26"/>
          <w:szCs w:val="26"/>
        </w:rPr>
        <w:t xml:space="preserve">Methods — </w:t>
      </w:r>
      <w:proofErr w:type="spellStart"/>
      <w:r>
        <w:rPr>
          <w:rFonts w:ascii="Arial" w:eastAsia="Arial" w:hAnsi="Arial" w:cs="Arial"/>
          <w:b/>
          <w:bCs/>
          <w:sz w:val="26"/>
          <w:szCs w:val="26"/>
        </w:rPr>
        <w:t>scRNA</w:t>
      </w:r>
      <w:proofErr w:type="spellEnd"/>
      <w:r>
        <w:rPr>
          <w:rFonts w:ascii="Arial" w:eastAsia="Arial" w:hAnsi="Arial" w:cs="Arial"/>
          <w:b/>
          <w:bCs/>
          <w:sz w:val="26"/>
          <w:szCs w:val="26"/>
        </w:rPr>
        <w:t>-seq Analysis (GSE130000)</w:t>
      </w:r>
    </w:p>
    <w:p w14:paraId="6A9C39FE" w14:textId="77777777" w:rsidR="009A3413" w:rsidRDefault="00F406C8">
      <w:pPr>
        <w:spacing w:after="120"/>
      </w:pPr>
      <w:r>
        <w:rPr>
          <w:rFonts w:ascii="Arial" w:eastAsia="Arial" w:hAnsi="Arial" w:cs="Arial"/>
          <w:sz w:val="22"/>
          <w:szCs w:val="22"/>
        </w:rPr>
        <w:t>For GSE130000, the dataset comprised 11,215 cells from eight patient samples spanning three disease states: primary tumor (patients P1–P4; n = 5,215 cells), metastatic (patients M1–M2; n = 1,474 cells), and relapsed (patients R1–R2; n = 4,526 cells). Cells were annotated into five major lineages: malignant cells (n = 8,876), CD8+ exhausted T cells (CD8Tex; n = 372), fibroblasts (n = 884), monocytes/macrophages (n = 259), and myofibroblasts (n = 824). Cell type annotations were obtained from the TISCH2 datab</w:t>
      </w:r>
      <w:r>
        <w:rPr>
          <w:rFonts w:ascii="Arial" w:eastAsia="Arial" w:hAnsi="Arial" w:cs="Arial"/>
          <w:sz w:val="22"/>
          <w:szCs w:val="22"/>
        </w:rPr>
        <w:t xml:space="preserve">ase metadata accompanying the original dataset. The expression matrix was stored in HDF5 format and loaded as a sparse matrix using the hdf5r and Matrix R packages. Gene expression values were normalized to counts per 10,000 (CP10K) and log-transformed using the log1p function, consistent with standard </w:t>
      </w:r>
      <w:proofErr w:type="spellStart"/>
      <w:r>
        <w:rPr>
          <w:rFonts w:ascii="Arial" w:eastAsia="Arial" w:hAnsi="Arial" w:cs="Arial"/>
          <w:sz w:val="22"/>
          <w:szCs w:val="22"/>
        </w:rPr>
        <w:t>scRNA</w:t>
      </w:r>
      <w:proofErr w:type="spellEnd"/>
      <w:r>
        <w:rPr>
          <w:rFonts w:ascii="Arial" w:eastAsia="Arial" w:hAnsi="Arial" w:cs="Arial"/>
          <w:sz w:val="22"/>
          <w:szCs w:val="22"/>
        </w:rPr>
        <w:t>-seq normalization approaches (ref).</w:t>
      </w:r>
    </w:p>
    <w:p w14:paraId="6A9C39FF" w14:textId="77777777" w:rsidR="009A3413" w:rsidRDefault="00F406C8">
      <w:pPr>
        <w:spacing w:before="200" w:after="80"/>
      </w:pPr>
      <w:r>
        <w:rPr>
          <w:rFonts w:ascii="Arial" w:eastAsia="Arial" w:hAnsi="Arial" w:cs="Arial"/>
          <w:b/>
          <w:bCs/>
          <w:sz w:val="22"/>
          <w:szCs w:val="22"/>
        </w:rPr>
        <w:t>Hedgehog pathway gene scoring</w:t>
      </w:r>
    </w:p>
    <w:p w14:paraId="6A9C3A00" w14:textId="77777777" w:rsidR="009A3413" w:rsidRDefault="00F406C8">
      <w:pPr>
        <w:spacing w:after="120"/>
      </w:pPr>
      <w:r>
        <w:rPr>
          <w:rFonts w:ascii="Arial" w:eastAsia="Arial" w:hAnsi="Arial" w:cs="Arial"/>
          <w:sz w:val="22"/>
          <w:szCs w:val="22"/>
        </w:rPr>
        <w:t>Hedgehog pathway activity was assessed using eight canonical pathway genes comprising three ligands (</w:t>
      </w:r>
      <w:r>
        <w:rPr>
          <w:rFonts w:ascii="Arial" w:eastAsia="Arial" w:hAnsi="Arial" w:cs="Arial"/>
          <w:i/>
          <w:iCs/>
          <w:sz w:val="22"/>
          <w:szCs w:val="22"/>
        </w:rPr>
        <w:t>SHH, IHH, DHH</w:t>
      </w:r>
      <w:r>
        <w:rPr>
          <w:rFonts w:ascii="Arial" w:eastAsia="Arial" w:hAnsi="Arial" w:cs="Arial"/>
          <w:sz w:val="22"/>
          <w:szCs w:val="22"/>
        </w:rPr>
        <w:t>), two receptors (</w:t>
      </w:r>
      <w:r>
        <w:rPr>
          <w:rFonts w:ascii="Arial" w:eastAsia="Arial" w:hAnsi="Arial" w:cs="Arial"/>
          <w:i/>
          <w:iCs/>
          <w:sz w:val="22"/>
          <w:szCs w:val="22"/>
        </w:rPr>
        <w:t>PTCH1, PTCH2</w:t>
      </w:r>
      <w:r>
        <w:rPr>
          <w:rFonts w:ascii="Arial" w:eastAsia="Arial" w:hAnsi="Arial" w:cs="Arial"/>
          <w:sz w:val="22"/>
          <w:szCs w:val="22"/>
        </w:rPr>
        <w:t>), one hedgehog-interacting protein (</w:t>
      </w:r>
      <w:r>
        <w:rPr>
          <w:rFonts w:ascii="Arial" w:eastAsia="Arial" w:hAnsi="Arial" w:cs="Arial"/>
          <w:i/>
          <w:iCs/>
          <w:sz w:val="22"/>
          <w:szCs w:val="22"/>
        </w:rPr>
        <w:t>HHIP</w:t>
      </w:r>
      <w:r>
        <w:rPr>
          <w:rFonts w:ascii="Arial" w:eastAsia="Arial" w:hAnsi="Arial" w:cs="Arial"/>
          <w:sz w:val="22"/>
          <w:szCs w:val="22"/>
        </w:rPr>
        <w:t>), and two GLI transcription factors (</w:t>
      </w:r>
      <w:r>
        <w:rPr>
          <w:rFonts w:ascii="Arial" w:eastAsia="Arial" w:hAnsi="Arial" w:cs="Arial"/>
          <w:i/>
          <w:iCs/>
          <w:sz w:val="22"/>
          <w:szCs w:val="22"/>
        </w:rPr>
        <w:t>GLI1, GLI2</w:t>
      </w:r>
      <w:r>
        <w:rPr>
          <w:rFonts w:ascii="Arial" w:eastAsia="Arial" w:hAnsi="Arial" w:cs="Arial"/>
          <w:sz w:val="22"/>
          <w:szCs w:val="22"/>
        </w:rPr>
        <w:t>). Of these, six were detected in the dataset (</w:t>
      </w:r>
      <w:r>
        <w:rPr>
          <w:rFonts w:ascii="Arial" w:eastAsia="Arial" w:hAnsi="Arial" w:cs="Arial"/>
          <w:i/>
          <w:iCs/>
          <w:sz w:val="22"/>
          <w:szCs w:val="22"/>
        </w:rPr>
        <w:t>IHH, PTCH1, PTCH2, HHIP, GLI1, GLI2</w:t>
      </w:r>
      <w:r>
        <w:rPr>
          <w:rFonts w:ascii="Arial" w:eastAsia="Arial" w:hAnsi="Arial" w:cs="Arial"/>
          <w:sz w:val="22"/>
          <w:szCs w:val="22"/>
        </w:rPr>
        <w:t xml:space="preserve">); </w:t>
      </w:r>
      <w:r>
        <w:rPr>
          <w:rFonts w:ascii="Arial" w:eastAsia="Arial" w:hAnsi="Arial" w:cs="Arial"/>
          <w:i/>
          <w:iCs/>
          <w:sz w:val="22"/>
          <w:szCs w:val="22"/>
        </w:rPr>
        <w:t>SHH</w:t>
      </w:r>
      <w:r>
        <w:rPr>
          <w:rFonts w:ascii="Arial" w:eastAsia="Arial" w:hAnsi="Arial" w:cs="Arial"/>
          <w:sz w:val="22"/>
          <w:szCs w:val="22"/>
        </w:rPr>
        <w:t xml:space="preserve"> and </w:t>
      </w:r>
      <w:r>
        <w:rPr>
          <w:rFonts w:ascii="Arial" w:eastAsia="Arial" w:hAnsi="Arial" w:cs="Arial"/>
          <w:i/>
          <w:iCs/>
          <w:sz w:val="22"/>
          <w:szCs w:val="22"/>
        </w:rPr>
        <w:t>DHH</w:t>
      </w:r>
      <w:r>
        <w:rPr>
          <w:rFonts w:ascii="Arial" w:eastAsia="Arial" w:hAnsi="Arial" w:cs="Arial"/>
          <w:sz w:val="22"/>
          <w:szCs w:val="22"/>
        </w:rPr>
        <w:t xml:space="preserve"> were not detected in this dataset. Pathway activity scores were calculated per cell as the mean log-normalized (CP10K + log1p) expression across the six detected genes.</w:t>
      </w:r>
    </w:p>
    <w:p w14:paraId="6A9C3A01" w14:textId="77777777" w:rsidR="009A3413" w:rsidRDefault="00F406C8">
      <w:pPr>
        <w:spacing w:before="200" w:after="80"/>
      </w:pPr>
      <w:r>
        <w:rPr>
          <w:rFonts w:ascii="Arial" w:eastAsia="Arial" w:hAnsi="Arial" w:cs="Arial"/>
          <w:b/>
          <w:bCs/>
          <w:sz w:val="22"/>
          <w:szCs w:val="22"/>
        </w:rPr>
        <w:t>ICB response signatures</w:t>
      </w:r>
    </w:p>
    <w:p w14:paraId="6A9C3A02" w14:textId="77777777" w:rsidR="009A3413" w:rsidRDefault="00F406C8">
      <w:pPr>
        <w:spacing w:after="120"/>
      </w:pPr>
      <w:r>
        <w:rPr>
          <w:rFonts w:ascii="Arial" w:eastAsia="Arial" w:hAnsi="Arial" w:cs="Arial"/>
          <w:sz w:val="22"/>
          <w:szCs w:val="22"/>
        </w:rPr>
        <w:t>To evaluate the relationship between Hedgehog signaling and the immune microenvironment, we correlated HH pathway scores with nine published immune checkpoint blockade (ICB) response signatures: Checkpoint (inhibitory immune checkpoint genes), CTL (cytotoxic T lymphocyte effector genes; Rooney et al., 2015), IFNG (interferon-gamma 6-gene signature; Ayers et al., 2017), IMPRES (Immune Predictive Score; Auslander et al., 2018), Inflammatory (inflammatory cytokine and chemokine genes; Spranger et al., 2015), I</w:t>
      </w:r>
      <w:r>
        <w:rPr>
          <w:rFonts w:ascii="Arial" w:eastAsia="Arial" w:hAnsi="Arial" w:cs="Arial"/>
          <w:sz w:val="22"/>
          <w:szCs w:val="22"/>
        </w:rPr>
        <w:t xml:space="preserve">PRES (Innate anti-PD1 Resistance; Hugo et al., 2016), T cell-inflamed (18-gene T cell-inflamed gene expression profile; Ayers et al., 2017), TLS (tertiary lymphoid structure signature; </w:t>
      </w:r>
      <w:proofErr w:type="spellStart"/>
      <w:r>
        <w:rPr>
          <w:rFonts w:ascii="Arial" w:eastAsia="Arial" w:hAnsi="Arial" w:cs="Arial"/>
          <w:sz w:val="22"/>
          <w:szCs w:val="22"/>
        </w:rPr>
        <w:t>Cabrita</w:t>
      </w:r>
      <w:proofErr w:type="spellEnd"/>
      <w:r>
        <w:rPr>
          <w:rFonts w:ascii="Arial" w:eastAsia="Arial" w:hAnsi="Arial" w:cs="Arial"/>
          <w:sz w:val="22"/>
          <w:szCs w:val="22"/>
        </w:rPr>
        <w:t xml:space="preserve"> et al., 2020), and T-quiescent (quiescent T cell markers; Peng et al., 2019). Each signature was scored per cell using the same mean log-normalized expression approach. Primary HH–ICB correlation analyses were conducted in malignant cells (n = 8,876); gene-level correlation analyses (individual HH genes vs. ICB signat</w:t>
      </w:r>
      <w:r>
        <w:rPr>
          <w:rFonts w:ascii="Arial" w:eastAsia="Arial" w:hAnsi="Arial" w:cs="Arial"/>
          <w:sz w:val="22"/>
          <w:szCs w:val="22"/>
        </w:rPr>
        <w:t>ures) were performed across all cells (n = 11,215).</w:t>
      </w:r>
    </w:p>
    <w:p w14:paraId="6A9C3A03" w14:textId="77777777" w:rsidR="009A3413" w:rsidRDefault="00F406C8">
      <w:pPr>
        <w:spacing w:before="200" w:after="80"/>
      </w:pPr>
      <w:r>
        <w:rPr>
          <w:rFonts w:ascii="Arial" w:eastAsia="Arial" w:hAnsi="Arial" w:cs="Arial"/>
          <w:b/>
          <w:bCs/>
          <w:sz w:val="22"/>
          <w:szCs w:val="22"/>
        </w:rPr>
        <w:t>Statistical analysis</w:t>
      </w:r>
    </w:p>
    <w:p w14:paraId="6A9C3A04" w14:textId="77777777" w:rsidR="009A3413" w:rsidRDefault="00F406C8">
      <w:pPr>
        <w:spacing w:after="120"/>
      </w:pPr>
      <w:r>
        <w:rPr>
          <w:rFonts w:ascii="Arial" w:eastAsia="Arial" w:hAnsi="Arial" w:cs="Arial"/>
          <w:sz w:val="22"/>
          <w:szCs w:val="22"/>
        </w:rPr>
        <w:t>Differential HH pathway activity between primary tumor and relapsed disease states was assessed in malignant cells using the Wilcoxon rank-sum test. Correlations between HH pathway scores (or individual gene expression) and ICB signature scores were evaluated using Spearman’s rank correlation. To formally compare correlation strengths between disease states, we applied Fisher’s z-test for the comparison of two independent Spearman correlation coefficients, testing whether HH–ICB correlations were significan</w:t>
      </w:r>
      <w:r>
        <w:rPr>
          <w:rFonts w:ascii="Arial" w:eastAsia="Arial" w:hAnsi="Arial" w:cs="Arial"/>
          <w:sz w:val="22"/>
          <w:szCs w:val="22"/>
        </w:rPr>
        <w:t>tly different in primary tumor versus relapsed malignant cells. All p-values were adjusted for multiple testing using the Benjamini–Hochberg method, and significance was defined as adjusted p &lt; 0.05. Analyses were performed stratified by cell type and disease state.</w:t>
      </w:r>
    </w:p>
    <w:p w14:paraId="6A9C3A05" w14:textId="77777777" w:rsidR="009A3413" w:rsidRDefault="00F406C8">
      <w:pPr>
        <w:spacing w:before="200" w:after="80"/>
      </w:pPr>
      <w:r>
        <w:rPr>
          <w:rFonts w:ascii="Arial" w:eastAsia="Arial" w:hAnsi="Arial" w:cs="Arial"/>
          <w:b/>
          <w:bCs/>
          <w:sz w:val="22"/>
          <w:szCs w:val="22"/>
        </w:rPr>
        <w:t>Software</w:t>
      </w:r>
    </w:p>
    <w:p w14:paraId="6A9C3A06" w14:textId="2CC95B16" w:rsidR="009A3413" w:rsidRDefault="00F406C8">
      <w:pPr>
        <w:spacing w:after="120"/>
      </w:pPr>
      <w:r>
        <w:rPr>
          <w:rFonts w:ascii="Arial" w:eastAsia="Arial" w:hAnsi="Arial" w:cs="Arial"/>
          <w:sz w:val="22"/>
          <w:szCs w:val="22"/>
        </w:rPr>
        <w:t>All analyses were performed in R (version 4.</w:t>
      </w:r>
      <w:r w:rsidR="00F134AE">
        <w:rPr>
          <w:rFonts w:ascii="Arial" w:eastAsia="Arial" w:hAnsi="Arial" w:cs="Arial"/>
          <w:sz w:val="22"/>
          <w:szCs w:val="22"/>
        </w:rPr>
        <w:t>5.3</w:t>
      </w:r>
      <w:r>
        <w:rPr>
          <w:rFonts w:ascii="Arial" w:eastAsia="Arial" w:hAnsi="Arial" w:cs="Arial"/>
          <w:sz w:val="22"/>
          <w:szCs w:val="22"/>
        </w:rPr>
        <w:t xml:space="preserve">) using the following packages: hdf5r for HDF5 file access, Matrix for sparse matrix operations, </w:t>
      </w:r>
      <w:proofErr w:type="spellStart"/>
      <w:r>
        <w:rPr>
          <w:rFonts w:ascii="Arial" w:eastAsia="Arial" w:hAnsi="Arial" w:cs="Arial"/>
          <w:sz w:val="22"/>
          <w:szCs w:val="22"/>
        </w:rPr>
        <w:t>dplyr</w:t>
      </w:r>
      <w:proofErr w:type="spellEnd"/>
      <w:r>
        <w:rPr>
          <w:rFonts w:ascii="Arial" w:eastAsia="Arial" w:hAnsi="Arial" w:cs="Arial"/>
          <w:sz w:val="22"/>
          <w:szCs w:val="22"/>
        </w:rPr>
        <w:t xml:space="preserve"> and </w:t>
      </w:r>
      <w:proofErr w:type="spellStart"/>
      <w:r>
        <w:rPr>
          <w:rFonts w:ascii="Arial" w:eastAsia="Arial" w:hAnsi="Arial" w:cs="Arial"/>
          <w:sz w:val="22"/>
          <w:szCs w:val="22"/>
        </w:rPr>
        <w:t>tidyr</w:t>
      </w:r>
      <w:proofErr w:type="spellEnd"/>
      <w:r>
        <w:rPr>
          <w:rFonts w:ascii="Arial" w:eastAsia="Arial" w:hAnsi="Arial" w:cs="Arial"/>
          <w:sz w:val="22"/>
          <w:szCs w:val="22"/>
        </w:rPr>
        <w:t xml:space="preserve"> for data manipulation, and </w:t>
      </w:r>
      <w:r>
        <w:rPr>
          <w:rFonts w:ascii="Arial" w:eastAsia="Arial" w:hAnsi="Arial" w:cs="Arial"/>
          <w:sz w:val="22"/>
          <w:szCs w:val="22"/>
        </w:rPr>
        <w:lastRenderedPageBreak/>
        <w:t>ggplot2 and patchwork for visualization. A colorblind-friendly color palette based on the Okabe-Ito scheme was used for all figures (ref).</w:t>
      </w:r>
    </w:p>
    <w:sectPr w:rsidR="009A34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1C57"/>
    <w:multiLevelType w:val="hybridMultilevel"/>
    <w:tmpl w:val="D79E5DEE"/>
    <w:lvl w:ilvl="0" w:tplc="D57CAFDC">
      <w:start w:val="1"/>
      <w:numFmt w:val="bullet"/>
      <w:lvlText w:val="●"/>
      <w:lvlJc w:val="left"/>
      <w:pPr>
        <w:ind w:left="720" w:hanging="360"/>
      </w:pPr>
    </w:lvl>
    <w:lvl w:ilvl="1" w:tplc="28EAFCCE">
      <w:start w:val="1"/>
      <w:numFmt w:val="bullet"/>
      <w:lvlText w:val="○"/>
      <w:lvlJc w:val="left"/>
      <w:pPr>
        <w:ind w:left="1440" w:hanging="360"/>
      </w:pPr>
    </w:lvl>
    <w:lvl w:ilvl="2" w:tplc="049AEFD8">
      <w:start w:val="1"/>
      <w:numFmt w:val="bullet"/>
      <w:lvlText w:val="■"/>
      <w:lvlJc w:val="left"/>
      <w:pPr>
        <w:ind w:left="2160" w:hanging="360"/>
      </w:pPr>
    </w:lvl>
    <w:lvl w:ilvl="3" w:tplc="EB9094C4">
      <w:start w:val="1"/>
      <w:numFmt w:val="bullet"/>
      <w:lvlText w:val="●"/>
      <w:lvlJc w:val="left"/>
      <w:pPr>
        <w:ind w:left="2880" w:hanging="360"/>
      </w:pPr>
    </w:lvl>
    <w:lvl w:ilvl="4" w:tplc="CA325CFE">
      <w:start w:val="1"/>
      <w:numFmt w:val="bullet"/>
      <w:lvlText w:val="○"/>
      <w:lvlJc w:val="left"/>
      <w:pPr>
        <w:ind w:left="3600" w:hanging="360"/>
      </w:pPr>
    </w:lvl>
    <w:lvl w:ilvl="5" w:tplc="E36E71D8">
      <w:start w:val="1"/>
      <w:numFmt w:val="bullet"/>
      <w:lvlText w:val="■"/>
      <w:lvlJc w:val="left"/>
      <w:pPr>
        <w:ind w:left="4320" w:hanging="360"/>
      </w:pPr>
    </w:lvl>
    <w:lvl w:ilvl="6" w:tplc="C42A08C4">
      <w:start w:val="1"/>
      <w:numFmt w:val="bullet"/>
      <w:lvlText w:val="●"/>
      <w:lvlJc w:val="left"/>
      <w:pPr>
        <w:ind w:left="5040" w:hanging="360"/>
      </w:pPr>
    </w:lvl>
    <w:lvl w:ilvl="7" w:tplc="B916FD70">
      <w:start w:val="1"/>
      <w:numFmt w:val="bullet"/>
      <w:lvlText w:val="●"/>
      <w:lvlJc w:val="left"/>
      <w:pPr>
        <w:ind w:left="5760" w:hanging="360"/>
      </w:pPr>
    </w:lvl>
    <w:lvl w:ilvl="8" w:tplc="44F01D2C">
      <w:start w:val="1"/>
      <w:numFmt w:val="bullet"/>
      <w:lvlText w:val="●"/>
      <w:lvlJc w:val="left"/>
      <w:pPr>
        <w:ind w:left="6480" w:hanging="360"/>
      </w:pPr>
    </w:lvl>
  </w:abstractNum>
  <w:num w:numId="1" w16cid:durableId="7982322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413"/>
    <w:rsid w:val="005F3130"/>
    <w:rsid w:val="009A3413"/>
    <w:rsid w:val="00F134AE"/>
    <w:rsid w:val="00F40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9C39FD"/>
  <w15:docId w15:val="{E4A2988C-9BEB-E94F-BE2B-D698278A5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504</Words>
  <Characters>3159</Characters>
  <Application>Microsoft Office Word</Application>
  <DocSecurity>0</DocSecurity>
  <Lines>137</Lines>
  <Paragraphs>71</Paragraphs>
  <ScaleCrop>false</ScaleCrop>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Karthikeyan, Mythreye</cp:lastModifiedBy>
  <cp:revision>2</cp:revision>
  <dcterms:created xsi:type="dcterms:W3CDTF">2026-04-19T18:12:00Z</dcterms:created>
  <dcterms:modified xsi:type="dcterms:W3CDTF">2026-04-19T18:24:00Z</dcterms:modified>
</cp:coreProperties>
</file>