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X9acdcc37d475ee44d5d064c645c0488ad1769fb"/>
    <w:p>
      <w:pPr>
        <w:pStyle w:val="Heading1"/>
      </w:pPr>
      <w:r>
        <w:rPr>
          <w:sz w:val="40"/>
        </w:rPr>
        <w:t xml:space="preserve">Literature Review — Payload-Aware Open-Set Interference Recognition for GEO Transponders</w:t>
      </w:r>
    </w:p>
    <w:p>
      <w:pPr>
        <w:pStyle w:val="FirstParagraph"/>
      </w:pPr>
      <w:r>
        <w:t>Original draft: 20 October 2026  |  Editorial revision V4.1: 25 October 2026</w:t>
      </w:r>
    </w:p>
    <w:p>
      <w:pPr>
        <w:pStyle w:val="BlockText"/>
      </w:pPr>
      <w:r>
        <w:t>Scope and evidence status. This is an academic narrative review and a protocol-oriented research synthesis, not a report of newly executed experiments. Stage A is a single-polarization, five-class closed-set investigation with CA-CFAR comparisons; Stage B introduces conditional dual-polarization observations, cancellation features and open-set rejection. Stage A pilot values cited in this document are project-reported and not independently reproduced. New Stage B production training, held-out evaluation and external validation remain outside this editorial revision. References, formulae and model assumptions are traceable; a subset of sources still requires publisher-level/full-text verification before submission.</w:t>
      </w:r>
    </w:p>
    <w:bookmarkStart w:id="20" w:name="notation"/>
    <w:p>
      <w:pPr>
        <w:pStyle w:val="Heading2"/>
      </w:pPr>
      <w:r>
        <w:t>Abstract</w:t>
      </w:r>
    </w:p>
    <w:p>
      <w:pPr>
        <w:pStyle w:val="BodyText"/>
      </w:pPr>
      <w:r>
        <w:t>This review examines mechanisms of radio-frequency interference observed by ground stations monitoring loaded geostationary (GEO) bent-pipe transponders. It integrates classical detection, carrier cancellation, satellite-specific machine learning, GNSS and wideband RF benchmarks, multicarrier nonlinear payload effects and open-set recognition. The key distinction is between an interferer’s uplink/downlink entry path and the distortions imparted by IMUX–TWTA–OMUX filtering and amplification; aggregate cross-polarization interference specified by ETSI is not itself a carrier-level mechanism classifier. A staged research design is articulated: a controlled four-class, matched nonlinear Stage A payload-gap comparison, with overdrive evaluated separately, followed by conditionally observable dual-polarization, plan-conditioned open-set Stage B experiments. The review specifies source-aware metrics, threshold-calibration isolation, group-based data splits and proposed ablations. The claimed contributions are hypotheses and design targets, not demonstrated benchmark gains.</w:t>
      </w:r>
    </w:p>
    <w:p>
      <w:pPr>
        <w:pStyle w:val="BodyText"/>
      </w:pPr>
      <w:r>
        <w:t>Keywords: GEO satellite; bent-pipe transponder; RF interference; IMUX–TWTA–OMUX; cross-polarization; carrier cancellation; open-set recognition; distribution shift.</w:t>
      </w:r>
    </w:p>
    <w:p>
      <w:pPr>
        <w:pStyle w:val="Heading2"/>
      </w:pPr>
      <w:r>
        <w:t xml:space="preserve">Notation</w:t>
      </w:r>
    </w:p>
    <w:p>
      <w:pPr>
        <w:pStyle w:val="FirstParagraph"/>
      </w:pPr>
      <w:r>
        <w:t xml:space="preserve">Symbols are defined where first used; this list collects them. Signals are complex baseband. Power units below require the declared physical-to-normalized reference; the default reference-curve model is distinct from the analytical Saleh alternative.</w:t>
      </w:r>
    </w:p>
    <w:tbl>
      <w:tblPr>
        <w:tblStyle w:val="Table"/>
        <w:tblW w:type="pct" w:w="5000"/>
        <w:tblLayout w:type="autofit"/>
        <w:tblLook w:firstRow="1" w:lastRow="0" w:firstColumn="0" w:lastColumn="0" w:noHBand="0" w:noVBand="0" w:val="002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blHeader w:val="true"/>
        </w:trPr>
        <w:tc>
          <w:tcPr>
            <w:shd w:val="clear" w:color="auto" w:fill="E8EDF3"/>
            <w:vAlign w:val="center"/>
          </w:tcPr>
          <w:p>
            <w:pPr>
              <w:pStyle w:val="Compact"/>
              <w:spacing w:after="20"/>
              <w:jc w:val="left"/>
            </w:pPr>
            <w:r>
              <w:rPr>
                <w:b/>
                <w:sz w:val="16"/>
              </w:rPr>
              <w:t xml:space="preserve">Symbol</w:t>
            </w:r>
          </w:p>
        </w:tc>
        <w:tc>
          <w:tcPr>
            <w:shd w:val="clear" w:color="auto" w:fill="E8EDF3"/>
            <w:vAlign w:val="center"/>
          </w:tcPr>
          <w:p>
            <w:pPr>
              <w:pStyle w:val="Compact"/>
              <w:spacing w:after="20"/>
              <w:jc w:val="left"/>
            </w:pPr>
            <w:r>
              <w:rPr>
                <w:b/>
                <w:sz w:val="16"/>
              </w:rPr>
              <w:t xml:space="preserve">Meaning</w:t>
            </w:r>
          </w:p>
        </w:tc>
        <w:tc>
          <w:tcPr>
            <w:shd w:val="clear" w:color="auto" w:fill="E8EDF3"/>
            <w:vAlign w:val="center"/>
          </w:tcPr>
          <w:p>
            <w:pPr>
              <w:pStyle w:val="Compact"/>
              <w:spacing w:after="20"/>
              <w:jc w:val="left"/>
            </w:pPr>
            <w:r>
              <w:rPr>
                <w:b/>
                <w:sz w:val="16"/>
              </w:rPr>
              <w:t xml:space="preserve">Unit</w:t>
            </w:r>
          </w:p>
        </w:tc>
      </w:tr>
      <w:tr>
        <w:tc>
          <w:tcPr>
            <w:vAlign w:val="center"/>
          </w:tcPr>
          <w:p>
            <w:pPr>
              <w:pStyle w:val="Compact"/>
              <w:spacing w:after="20"/>
              <w:jc w:val="left"/>
            </w:pPr>
            <w:r>
              <w:rPr>
                <w:sz w:val="16"/>
              </w:rPr>
              <w:t xml:space="preserve">x(t), y(t)</w:t>
            </w:r>
          </w:p>
        </w:tc>
        <w:tc>
          <w:tcPr>
            <w:vAlign w:val="center"/>
          </w:tcPr>
          <w:p>
            <w:pPr>
              <w:pStyle w:val="Compact"/>
              <w:spacing w:after="20"/>
              <w:jc w:val="left"/>
            </w:pPr>
            <w:r>
              <w:rPr>
                <w:sz w:val="16"/>
              </w:rPr>
              <w:t xml:space="preserve">Composite uplink signal; downlink observation</w:t>
            </w:r>
          </w:p>
        </w:tc>
        <w:tc>
          <w:tcPr>
            <w:vAlign w:val="center"/>
          </w:tcPr>
          <w:p>
            <w:pPr>
              <w:pStyle w:val="Compact"/>
              <w:spacing w:after="20"/>
              <w:jc w:val="left"/>
            </w:pPr>
            <w:r>
              <w:rPr>
                <w:sz w:val="16"/>
              </w:rPr>
              <w:t xml:space="preserve">Declared normalized amplitude</w:t>
            </w:r>
          </w:p>
        </w:tc>
      </w:tr>
      <w:tr>
        <w:tc>
          <w:tcPr>
            <w:vAlign w:val="center"/>
          </w:tcPr>
          <w:p>
            <w:pPr>
              <w:pStyle w:val="Compact"/>
              <w:spacing w:after="20"/>
              <w:jc w:val="left"/>
            </w:pPr>
            <w:r>
              <w:rPr>
                <w:sz w:val="16"/>
              </w:rPr>
              <w:t xml:space="preserve">s_k(t), P_k, f_k, θ_k(t), K</w:t>
            </w:r>
          </w:p>
        </w:tc>
        <w:tc>
          <w:tcPr>
            <w:vAlign w:val="center"/>
          </w:tcPr>
          <w:p>
            <w:pPr>
              <w:pStyle w:val="Compact"/>
              <w:spacing w:after="20"/>
              <w:jc w:val="left"/>
            </w:pPr>
            <w:r>
              <w:rPr>
                <w:sz w:val="16"/>
              </w:rPr>
              <w:t xml:space="preserve">k-th planned carrier: waveform, power, centre frequency, uplink phase noise; number of carriers</w:t>
            </w:r>
          </w:p>
        </w:tc>
        <w:tc>
          <w:tcPr>
            <w:vAlign w:val="center"/>
          </w:tcPr>
          <w:p>
            <w:pPr>
              <w:pStyle w:val="Compact"/>
              <w:spacing w:after="20"/>
              <w:jc w:val="left"/>
            </w:pPr>
            <w:r>
              <w:rPr>
                <w:sz w:val="16"/>
              </w:rPr>
              <w:t xml:space="preserve">–, W, Hz, rad, –</w:t>
            </w:r>
          </w:p>
        </w:tc>
      </w:tr>
      <w:tr>
        <w:tc>
          <w:tcPr>
            <w:vAlign w:val="center"/>
          </w:tcPr>
          <w:p>
            <w:pPr>
              <w:pStyle w:val="Compact"/>
              <w:spacing w:after="20"/>
              <w:jc w:val="left"/>
            </w:pPr>
            <w:r>
              <w:rPr>
                <w:sz w:val="16"/>
              </w:rPr>
              <w:t xml:space="preserve">i_m(t), M</w:t>
            </w:r>
          </w:p>
        </w:tc>
        <w:tc>
          <w:tcPr>
            <w:vAlign w:val="center"/>
          </w:tcPr>
          <w:p>
            <w:pPr>
              <w:pStyle w:val="Compact"/>
              <w:spacing w:after="20"/>
              <w:jc w:val="left"/>
            </w:pPr>
            <w:r>
              <w:rPr>
                <w:sz w:val="16"/>
              </w:rPr>
              <w:t xml:space="preserve">Uplink interferer; number of uplink interferers</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i_{d,l}(t)</w:t>
            </w:r>
          </w:p>
        </w:tc>
        <w:tc>
          <w:tcPr>
            <w:vAlign w:val="center"/>
          </w:tcPr>
          <w:p>
            <w:pPr>
              <w:pStyle w:val="Compact"/>
              <w:spacing w:after="20"/>
              <w:jc w:val="left"/>
            </w:pPr>
            <w:r>
              <w:rPr>
                <w:sz w:val="16"/>
              </w:rPr>
              <w:t xml:space="preserve">Interferer entering on the downlink</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n_u(t), n_d(t), N_0</w:t>
            </w:r>
          </w:p>
        </w:tc>
        <w:tc>
          <w:tcPr>
            <w:vAlign w:val="center"/>
          </w:tcPr>
          <w:p>
            <w:pPr>
              <w:pStyle w:val="Compact"/>
              <w:spacing w:after="20"/>
              <w:jc w:val="left"/>
            </w:pPr>
            <w:r>
              <w:rPr>
                <w:sz w:val="16"/>
              </w:rPr>
              <w:t xml:space="preserve">Uplink and downlink noise; noise power spectral density</w:t>
            </w:r>
          </w:p>
        </w:tc>
        <w:tc>
          <w:tcPr>
            <w:vAlign w:val="center"/>
          </w:tcPr>
          <w:p>
            <w:pPr>
              <w:pStyle w:val="Compact"/>
              <w:spacing w:after="20"/>
              <w:jc w:val="left"/>
            </w:pPr>
            <w:r>
              <w:rPr>
                <w:sz w:val="16"/>
              </w:rPr>
              <w:t xml:space="preserve">–, –, W/Hz</w:t>
            </w:r>
          </w:p>
        </w:tc>
      </w:tr>
      <w:tr>
        <w:tc>
          <w:tcPr>
            <w:vAlign w:val="center"/>
          </w:tcPr>
          <w:p>
            <w:pPr>
              <w:pStyle w:val="Compact"/>
              <w:spacing w:after="20"/>
              <w:jc w:val="left"/>
            </w:pPr>
            <w:r>
              <w:rPr>
                <w:sz w:val="16"/>
              </w:rPr>
              <w:t xml:space="preserve">h_IMUX, h_OMUX</w:t>
            </w:r>
          </w:p>
        </w:tc>
        <w:tc>
          <w:tcPr>
            <w:vAlign w:val="center"/>
          </w:tcPr>
          <w:p>
            <w:pPr>
              <w:pStyle w:val="Compact"/>
              <w:spacing w:after="20"/>
              <w:jc w:val="left"/>
            </w:pPr>
            <w:r>
              <w:rPr>
                <w:sz w:val="16"/>
              </w:rPr>
              <w:t xml:space="preserve">Input and output multiplexer impulse responses</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u(t), r, r_sat</w:t>
            </w:r>
          </w:p>
        </w:tc>
        <w:tc>
          <w:tcPr>
            <w:vAlign w:val="center"/>
          </w:tcPr>
          <w:p>
            <w:pPr>
              <w:pStyle w:val="Compact"/>
              <w:spacing w:after="20"/>
              <w:jc w:val="left"/>
            </w:pPr>
            <w:r>
              <w:rPr>
                <w:sz w:val="16"/>
              </w:rPr>
              <w:t xml:space="preserve">TWTA input; its envelope; envelope at saturation</w:t>
            </w:r>
          </w:p>
        </w:tc>
        <w:tc>
          <w:tcPr>
            <w:vAlign w:val="center"/>
          </w:tcPr>
          <w:p>
            <w:pPr>
              <w:pStyle w:val="Compact"/>
              <w:spacing w:after="20"/>
              <w:jc w:val="left"/>
            </w:pPr>
            <w:r>
              <w:rPr>
                <w:sz w:val="16"/>
              </w:rPr>
              <w:t xml:space="preserve">Declared normalized amplitude</w:t>
            </w:r>
          </w:p>
        </w:tc>
      </w:tr>
      <w:tr>
        <w:tc>
          <w:tcPr>
            <w:vAlign w:val="center"/>
          </w:tcPr>
          <w:p>
            <w:pPr>
              <w:pStyle w:val="Compact"/>
              <w:spacing w:after="20"/>
              <w:jc w:val="left"/>
            </w:pPr>
            <w:r>
              <w:rPr>
                <w:sz w:val="16"/>
              </w:rPr>
              <w:t xml:space="preserve">𝒢{·}, A(r), Φ(r)</w:t>
            </w:r>
          </w:p>
        </w:tc>
        <w:tc>
          <w:tcPr>
            <w:vAlign w:val="center"/>
          </w:tcPr>
          <w:p>
            <w:pPr>
              <w:pStyle w:val="Compact"/>
              <w:spacing w:after="20"/>
              <w:jc w:val="left"/>
            </w:pPr>
            <w:r>
              <w:rPr>
                <w:sz w:val="16"/>
              </w:rPr>
              <w:t xml:space="preserve">TWTA operator; AM/AM and AM/PM characteristics</w:t>
            </w:r>
          </w:p>
        </w:tc>
        <w:tc>
          <w:tcPr>
            <w:vAlign w:val="center"/>
          </w:tcPr>
          <w:p>
            <w:pPr>
              <w:pStyle w:val="Compact"/>
              <w:spacing w:after="20"/>
              <w:jc w:val="left"/>
            </w:pPr>
            <w:r>
              <w:rPr>
                <w:sz w:val="16"/>
              </w:rPr>
              <w:t xml:space="preserve">–, Saleh-normalized, rad</w:t>
            </w:r>
          </w:p>
        </w:tc>
      </w:tr>
      <w:tr>
        <w:tc>
          <w:tcPr>
            <w:vAlign w:val="center"/>
          </w:tcPr>
          <w:p>
            <w:pPr>
              <w:pStyle w:val="Compact"/>
              <w:spacing w:after="20"/>
              <w:jc w:val="left"/>
            </w:pPr>
            <w:r>
              <w:rPr>
                <w:sz w:val="16"/>
              </w:rPr>
              <w:t xml:space="preserve">α_a, β_a, α_φ, β_φ</w:t>
            </w:r>
          </w:p>
        </w:tc>
        <w:tc>
          <w:tcPr>
            <w:vAlign w:val="center"/>
          </w:tcPr>
          <w:p>
            <w:pPr>
              <w:pStyle w:val="Compact"/>
              <w:spacing w:after="20"/>
              <w:jc w:val="left"/>
            </w:pPr>
            <w:r>
              <w:rPr>
                <w:sz w:val="16"/>
              </w:rPr>
              <w:t xml:space="preserve">Saleh model parameters</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IBO, P_in, P_in,sat</w:t>
            </w:r>
          </w:p>
        </w:tc>
        <w:tc>
          <w:tcPr>
            <w:vAlign w:val="center"/>
          </w:tcPr>
          <w:p>
            <w:pPr>
              <w:pStyle w:val="Compact"/>
              <w:spacing w:after="20"/>
              <w:jc w:val="left"/>
            </w:pPr>
            <w:r>
              <w:rPr>
                <w:sz w:val="16"/>
              </w:rPr>
              <w:t xml:space="preserve">Input back-off; total mean input power; single-carrier input power at saturation</w:t>
            </w:r>
          </w:p>
        </w:tc>
        <w:tc>
          <w:tcPr>
            <w:vAlign w:val="center"/>
          </w:tcPr>
          <w:p>
            <w:pPr>
              <w:pStyle w:val="Compact"/>
              <w:spacing w:after="20"/>
              <w:jc w:val="left"/>
            </w:pPr>
            <w:r>
              <w:rPr>
                <w:sz w:val="16"/>
              </w:rPr>
              <w:t xml:space="preserve">dB, W, W</w:t>
            </w:r>
          </w:p>
        </w:tc>
      </w:tr>
      <w:tr>
        <w:tc>
          <w:tcPr>
            <w:vAlign w:val="center"/>
          </w:tcPr>
          <w:p>
            <w:pPr>
              <w:pStyle w:val="Compact"/>
              <w:spacing w:after="20"/>
              <w:jc w:val="left"/>
            </w:pPr>
            <w:r>
              <w:rPr>
                <w:sz w:val="16"/>
              </w:rPr>
              <w:t xml:space="preserve">f_IM3, C/IM₃, c</w:t>
            </w:r>
          </w:p>
        </w:tc>
        <w:tc>
          <w:tcPr>
            <w:vAlign w:val="center"/>
          </w:tcPr>
          <w:p>
            <w:pPr>
              <w:pStyle w:val="Compact"/>
              <w:spacing w:after="20"/>
              <w:jc w:val="left"/>
            </w:pPr>
            <w:r>
              <w:rPr>
                <w:sz w:val="16"/>
              </w:rPr>
              <w:t xml:space="preserve">Third-order intermodulation frequency; carrier-to-IM3 ratio; constant of the IM3 power law</w:t>
            </w:r>
          </w:p>
        </w:tc>
        <w:tc>
          <w:tcPr>
            <w:vAlign w:val="center"/>
          </w:tcPr>
          <w:p>
            <w:pPr>
              <w:pStyle w:val="Compact"/>
              <w:spacing w:after="20"/>
              <w:jc w:val="left"/>
            </w:pPr>
            <w:r>
              <w:rPr>
                <w:sz w:val="16"/>
              </w:rPr>
              <w:t xml:space="preserve">Hz, dB, dB</w:t>
            </w:r>
          </w:p>
        </w:tc>
      </w:tr>
      <w:tr>
        <w:tc>
          <w:tcPr>
            <w:vAlign w:val="center"/>
          </w:tcPr>
          <w:p>
            <w:pPr>
              <w:pStyle w:val="Compact"/>
              <w:spacing w:after="20"/>
              <w:jc w:val="left"/>
            </w:pPr>
            <w:r>
              <w:rPr>
                <w:sz w:val="16"/>
              </w:rPr>
              <w:t xml:space="preserve">x_co, x_x, x’_co</w:t>
            </w:r>
          </w:p>
        </w:tc>
        <w:tc>
          <w:tcPr>
            <w:vAlign w:val="center"/>
          </w:tcPr>
          <w:p>
            <w:pPr>
              <w:pStyle w:val="Compact"/>
              <w:spacing w:after="20"/>
              <w:jc w:val="left"/>
            </w:pPr>
            <w:r>
              <w:rPr>
                <w:sz w:val="16"/>
              </w:rPr>
              <w:t xml:space="preserve">Uplink signals per polarization; co-polar transponder input after uplink leakage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z_co, z_x, y_co, y_x, n_co, n_x</w:t>
            </w:r>
          </w:p>
        </w:tc>
        <w:tc>
          <w:tcPr>
            <w:vAlign w:val="center"/>
          </w:tcPr>
          <w:p>
            <w:pPr>
              <w:pStyle w:val="Compact"/>
              <w:spacing w:after="20"/>
              <w:jc w:val="left"/>
            </w:pPr>
            <w:r>
              <w:rPr>
                <w:sz w:val="16"/>
              </w:rPr>
              <w:t xml:space="preserve">Transponder outputs, observations and noise per polarization</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κ_u, κ_d, XPD</w:t>
            </w:r>
          </w:p>
        </w:tc>
        <w:tc>
          <w:tcPr>
            <w:vAlign w:val="center"/>
          </w:tcPr>
          <w:p>
            <w:pPr>
              <w:pStyle w:val="Compact"/>
              <w:spacing w:after="20"/>
              <w:jc w:val="left"/>
            </w:pPr>
            <w:r>
              <w:rPr>
                <w:sz w:val="16"/>
              </w:rPr>
              <w:t xml:space="preserve">Uplink and downlink polarization coupling (complex); cross-polar discrimination</w:t>
            </w:r>
          </w:p>
        </w:tc>
        <w:tc>
          <w:tcPr>
            <w:vAlign w:val="center"/>
          </w:tcPr>
          <w:p>
            <w:pPr>
              <w:pStyle w:val="Compact"/>
              <w:spacing w:after="20"/>
              <w:jc w:val="left"/>
            </w:pPr>
            <w:r>
              <w:rPr>
                <w:sz w:val="16"/>
              </w:rPr>
              <w:t xml:space="preserve">–, –, dB</w:t>
            </w:r>
          </w:p>
        </w:tc>
      </w:tr>
      <w:tr>
        <w:tc>
          <w:tcPr>
            <w:vAlign w:val="center"/>
          </w:tcPr>
          <w:p>
            <w:pPr>
              <w:pStyle w:val="Compact"/>
              <w:spacing w:after="20"/>
              <w:jc w:val="left"/>
            </w:pPr>
            <w:r>
              <w:rPr>
                <w:sz w:val="16"/>
              </w:rPr>
              <w:t xml:space="preserve">s_h, s_u, T_h, T_u</w:t>
            </w:r>
          </w:p>
        </w:tc>
        <w:tc>
          <w:tcPr>
            <w:vAlign w:val="center"/>
          </w:tcPr>
          <w:p>
            <w:pPr>
              <w:pStyle w:val="Compact"/>
              <w:spacing w:after="20"/>
              <w:jc w:val="left"/>
            </w:pPr>
            <w:r>
              <w:rPr>
                <w:sz w:val="16"/>
              </w:rPr>
              <w:t xml:space="preserve">Host and under-carrier waveforms; their symbol periods</w:t>
            </w:r>
          </w:p>
        </w:tc>
        <w:tc>
          <w:tcPr>
            <w:vAlign w:val="center"/>
          </w:tcPr>
          <w:p>
            <w:pPr>
              <w:pStyle w:val="Compact"/>
              <w:spacing w:after="20"/>
              <w:jc w:val="left"/>
            </w:pPr>
            <w:r>
              <w:rPr>
                <w:sz w:val="16"/>
              </w:rPr>
              <w:t xml:space="preserve">–, s</w:t>
            </w:r>
          </w:p>
        </w:tc>
      </w:tr>
      <w:tr>
        <w:tc>
          <w:tcPr>
            <w:vAlign w:val="center"/>
          </w:tcPr>
          <w:p>
            <w:pPr>
              <w:pStyle w:val="Compact"/>
              <w:spacing w:after="20"/>
              <w:jc w:val="left"/>
            </w:pPr>
            <w:r>
              <w:rPr>
                <w:sz w:val="16"/>
              </w:rPr>
              <w:t xml:space="preserve">ρ, (C/I)lin, (C/I)dB</w:t>
            </w:r>
          </w:p>
        </w:tc>
        <w:tc>
          <w:tcPr>
            <w:vAlign w:val="center"/>
          </w:tcPr>
          <w:p>
            <w:pPr>
              <w:pStyle w:val="Compact"/>
              <w:spacing w:after="20"/>
              <w:jc w:val="left"/>
            </w:pPr>
            <w:r>
              <w:rPr>
                <w:sz w:val="16"/>
              </w:rPr>
              <w:t xml:space="preserve">Under-carrier power ratio, ρ = 1/(C/I)lin = 10^(−(C/I)dB/10); linear and logarithmic carrier-to-interference ratios</w:t>
            </w:r>
          </w:p>
        </w:tc>
        <w:tc>
          <w:tcPr>
            <w:vAlign w:val="center"/>
          </w:tcPr>
          <w:p>
            <w:pPr>
              <w:pStyle w:val="Compact"/>
              <w:spacing w:after="20"/>
              <w:jc w:val="left"/>
            </w:pPr>
            <w:r>
              <w:rPr>
                <w:sz w:val="16"/>
              </w:rPr>
              <w:t xml:space="preserve">–, –, dB</w:t>
            </w:r>
          </w:p>
        </w:tc>
      </w:tr>
      <w:tr>
        <w:tc>
          <w:tcPr>
            <w:vAlign w:val="center"/>
          </w:tcPr>
          <w:p>
            <w:pPr>
              <w:pStyle w:val="Compact"/>
              <w:spacing w:after="20"/>
              <w:jc w:val="left"/>
            </w:pPr>
            <w:r>
              <w:rPr>
                <w:sz w:val="16"/>
              </w:rPr>
              <w:t xml:space="preserve">S_y(f), S_y^α(f), α, T_s, β</w:t>
            </w:r>
          </w:p>
        </w:tc>
        <w:tc>
          <w:tcPr>
            <w:vAlign w:val="center"/>
          </w:tcPr>
          <w:p>
            <w:pPr>
              <w:pStyle w:val="Compact"/>
              <w:spacing w:after="20"/>
              <w:jc w:val="left"/>
            </w:pPr>
            <w:r>
              <w:rPr>
                <w:sz w:val="16"/>
              </w:rPr>
              <w:t xml:space="preserve">Power spectral density; spectral correlation function; cycle frequency; symbol period; roll-off</w:t>
            </w:r>
          </w:p>
        </w:tc>
        <w:tc>
          <w:tcPr>
            <w:vAlign w:val="center"/>
          </w:tcPr>
          <w:p>
            <w:pPr>
              <w:pStyle w:val="Compact"/>
              <w:spacing w:after="20"/>
              <w:jc w:val="left"/>
            </w:pPr>
            <w:r>
              <w:rPr>
                <w:sz w:val="16"/>
              </w:rPr>
              <w:t xml:space="preserve">W/Hz, W/Hz, Hz, s, –</w:t>
            </w:r>
          </w:p>
        </w:tc>
      </w:tr>
      <w:tr>
        <w:tc>
          <w:tcPr>
            <w:vAlign w:val="center"/>
          </w:tcPr>
          <w:p>
            <w:pPr>
              <w:pStyle w:val="Compact"/>
              <w:spacing w:after="20"/>
              <w:jc w:val="left"/>
            </w:pPr>
            <w:r>
              <w:rPr>
                <w:sz w:val="16"/>
              </w:rPr>
              <w:t xml:space="preserve">Λ, ŝ[n], γ, γ_i, ℋ₀, ℋ₁</w:t>
            </w:r>
          </w:p>
        </w:tc>
        <w:tc>
          <w:tcPr>
            <w:vAlign w:val="center"/>
          </w:tcPr>
          <w:p>
            <w:pPr>
              <w:pStyle w:val="Compact"/>
              <w:spacing w:after="20"/>
              <w:jc w:val="left"/>
            </w:pPr>
            <w:r>
              <w:rPr>
                <w:sz w:val="16"/>
              </w:rPr>
              <w:t xml:space="preserve">Detection statistic; reconstructed desired signal; thresholds; hypotheses</w:t>
            </w:r>
          </w:p>
        </w:tc>
        <w:tc>
          <w:tcPr>
            <w:vAlign w:val="center"/>
          </w:tcPr>
          <w:p>
            <w:pPr>
              <w:pStyle w:val="Compact"/>
              <w:spacing w:after="20"/>
              <w:jc w:val="left"/>
            </w:pPr>
            <w:r>
              <w:rPr>
                <w:sz w:val="16"/>
              </w:rPr>
              <w:t xml:space="preserve">W (Λ, γ)</w:t>
            </w:r>
          </w:p>
        </w:tc>
      </w:tr>
      <w:tr>
        <w:tc>
          <w:tcPr>
            <w:vAlign w:val="center"/>
          </w:tcPr>
          <w:p>
            <w:pPr>
              <w:pStyle w:val="Compact"/>
              <w:spacing w:after="20"/>
              <w:jc w:val="left"/>
            </w:pPr>
            <w:r>
              <w:rPr>
                <w:sz w:val="16"/>
              </w:rPr>
              <w:t xml:space="preserve">η, N_r, ℛ_i, P_j</w:t>
            </w:r>
          </w:p>
        </w:tc>
        <w:tc>
          <w:tcPr>
            <w:vAlign w:val="center"/>
          </w:tcPr>
          <w:p>
            <w:pPr>
              <w:pStyle w:val="Compact"/>
              <w:spacing w:after="20"/>
              <w:jc w:val="left"/>
            </w:pPr>
            <w:r>
              <w:rPr>
                <w:sz w:val="16"/>
              </w:rPr>
              <w:t xml:space="preserve">CA-CFAR scale factor; number of reference cells; reference cells of bin i; cell power</w:t>
            </w:r>
          </w:p>
        </w:tc>
        <w:tc>
          <w:tcPr>
            <w:vAlign w:val="center"/>
          </w:tcPr>
          <w:p>
            <w:pPr>
              <w:pStyle w:val="Compact"/>
              <w:spacing w:after="20"/>
              <w:jc w:val="left"/>
            </w:pPr>
            <w:r>
              <w:rPr>
                <w:sz w:val="16"/>
              </w:rPr>
              <w:t xml:space="preserve">–, –, –, W</w:t>
            </w:r>
          </w:p>
        </w:tc>
      </w:tr>
      <w:tr>
        <w:tc>
          <w:tcPr>
            <w:vAlign w:val="center"/>
          </w:tcPr>
          <w:p>
            <w:pPr>
              <w:pStyle w:val="Compact"/>
              <w:spacing w:after="20"/>
              <w:jc w:val="left"/>
            </w:pPr>
            <w:r>
              <w:rPr>
                <w:sz w:val="16"/>
              </w:rPr>
              <w:t xml:space="preserve">P_FA, P_D</w:t>
            </w:r>
          </w:p>
        </w:tc>
        <w:tc>
          <w:tcPr>
            <w:vAlign w:val="center"/>
          </w:tcPr>
          <w:p>
            <w:pPr>
              <w:pStyle w:val="Compact"/>
              <w:spacing w:after="20"/>
              <w:jc w:val="left"/>
            </w:pPr>
            <w:r>
              <w:rPr>
                <w:sz w:val="16"/>
              </w:rPr>
              <w:t xml:space="preserve">False-alarm and detection probabilities</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C, g_k(x), v, μ_k, Σ, τ</w:t>
            </w:r>
          </w:p>
        </w:tc>
        <w:tc>
          <w:tcPr>
            <w:vAlign w:val="center"/>
          </w:tcPr>
          <w:p>
            <w:pPr>
              <w:pStyle w:val="Compact"/>
              <w:spacing w:after="20"/>
              <w:jc w:val="left"/>
            </w:pPr>
            <w:r>
              <w:rPr>
                <w:sz w:val="16"/>
              </w:rPr>
              <w:t xml:space="preserve">Number of known classes; logits; embedding; class means; shared covariance; rejection threshold</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S(x), S_MSP, S_E, S_M, T_E</w:t>
            </w:r>
          </w:p>
        </w:tc>
        <w:tc>
          <w:tcPr>
            <w:vAlign w:val="center"/>
          </w:tcPr>
          <w:p>
            <w:pPr>
              <w:pStyle w:val="Compact"/>
              <w:spacing w:after="20"/>
              <w:jc w:val="left"/>
            </w:pPr>
            <w:r>
              <w:rPr>
                <w:sz w:val="16"/>
              </w:rPr>
              <w:t xml:space="preserve">Open-set score and its three forms; temperature of the energy score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𝒟_K, 𝒟_U</w:t>
            </w:r>
          </w:p>
        </w:tc>
        <w:tc>
          <w:tcPr>
            <w:vAlign w:val="center"/>
          </w:tcPr>
          <w:p>
            <w:pPr>
              <w:pStyle w:val="Compact"/>
              <w:spacing w:after="20"/>
              <w:jc w:val="left"/>
            </w:pPr>
            <w:r>
              <w:rPr>
                <w:sz w:val="16"/>
              </w:rPr>
              <w:t xml:space="preserve">Known-class and unknown-class test data</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CCR, FPR, OSCR, Prec_k, Rec_k</w:t>
            </w:r>
          </w:p>
        </w:tc>
        <w:tc>
          <w:tcPr>
            <w:vAlign w:val="center"/>
          </w:tcPr>
          <w:p>
            <w:pPr>
              <w:pStyle w:val="Compact"/>
              <w:spacing w:after="20"/>
              <w:jc w:val="left"/>
            </w:pPr>
            <w:r>
              <w:rPr>
                <w:sz w:val="16"/>
              </w:rPr>
              <w:t xml:space="preserve">Correct classification rate; false-positive rate; open-set classification rate; per-class precision and recall</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Δ_payload(ω), G(ω), 𝓜, 𝒟_ω, ω</w:t>
            </w:r>
          </w:p>
        </w:tc>
        <w:tc>
          <w:tcPr>
            <w:vAlign w:val="center"/>
          </w:tcPr>
          <w:p>
            <w:pPr>
              <w:pStyle w:val="Compact"/>
              <w:spacing w:after="20"/>
              <w:jc w:val="left"/>
            </w:pPr>
            <w:r>
              <w:rPr>
                <w:sz w:val="16"/>
              </w:rPr>
              <w:t xml:space="preserve">Payload gap; generalization curve; metric; test data at condition ω; test condition</w:t>
            </w:r>
          </w:p>
        </w:tc>
        <w:tc>
          <w:tcPr>
            <w:vAlign w:val="center"/>
          </w:tcPr>
          <w:p>
            <w:pPr>
              <w:pStyle w:val="Compact"/>
              <w:spacing w:after="20"/>
              <w:jc w:val="left"/>
            </w:pPr>
            <w:r>
              <w:rPr>
                <w:sz w:val="16"/>
              </w:rPr>
              <w:t xml:space="preserve">–</w:t>
            </w:r>
          </w:p>
        </w:tc>
      </w:tr>
    </w:tbl>
    <w:bookmarkEnd w:id="20"/>
    <w:bookmarkStart w:id="21" w:name="introduction"/>
    <w:p>
      <w:pPr>
        <w:pStyle w:val="Heading2"/>
      </w:pPr>
      <w:r>
        <w:t xml:space="preserve">1. Introduction</w:t>
      </w:r>
    </w:p>
    <w:p>
      <w:pPr>
        <w:pStyle w:val="FirstParagraph"/>
      </w:pPr>
      <w:r>
        <w:t>Operational and trade accounts describe recurrent GEO satellite interference associated with terminal configuration, cross-polarization leakage, equipment faults and unplanned carriers [1], [2], [3], [4]. These sources motivate the problem but do not establish population-wide incidence rates. [1], [2], [3] are trade or vendor material and [4] is a newsletter/preprint account; no incidence figures are quoted. A vendor report also describes sustained GEO interference in 2026 [5]; it is treated as an operational report rather than independent attribution evidence.</w:t>
      </w:r>
    </w:p>
    <w:p>
      <w:pPr>
        <w:pStyle w:val="BodyText"/>
      </w:pPr>
      <w:r>
        <w:t xml:space="preserve">Operators find most of these events through downlink spectrum monitoring. Carriers are measured against expected power levels and spectral masks, threshold alarms fire on deviations, and analysts inspect spectrum-analyzer traces to work out what happened [2], [6]. The operator-oriented anomaly detectors discussed here use a threshold on a deviation score [4]. Detection and mechanism recognition are distinct tasks; their relative difficulty depends on interference power and the available observations. The costly half is recognition: deciding which mechanism is at work, because each points to a different response — repointing a terminal, correcting a polarization setting, locating an unauthorized uplink, or reducing the payload drive.</w:t>
      </w:r>
    </w:p>
    <w:p>
      <w:pPr>
        <w:pStyle w:val="BodyText"/>
      </w:pPr>
      <w:r>
        <w:t xml:space="preserve">Two properties of the operator’s observation make recognition harder than it first appears, and they shape this project. First, the monitoring station sees the downlink, after the uplink signal has passed through the bent-pipe transponder’s input multiplexer (IMUX), traveling-wave tube amplifier (TWTA) and output multiplexer (OMUX). Detection on the ground is degraded by exactly this chain of transponder distortion and downlink noise [7], and the nonlinear amplifier creates intermodulation products that can resemble external interference. Second, the catalogue of interference types is not closed. New jamming patterns keep appearing [5], and historical trade reporting describes events whose sources were not attributed [1]. An unattributed operational incident is not necessarily an unseen signal class, so this evidence motivates cautious rejection rather than quantifying semantic novelty. A recognizer forced to assign every event to a known class will mislabel whatever falls outside its catalogue.</w:t>
      </w:r>
    </w:p>
    <w:p>
      <w:pPr>
        <w:pStyle w:val="BodyText"/>
      </w:pPr>
      <w:r>
        <w:t xml:space="preserve">This review is organized around those two properties. Section 2 covers classical monitoring and detection practice, and Section 3 the learning-based detectors and classifiers proposed for satellite, GNSS and general RF interference. Section 4 examines how the transponder has been modeled, and Section 5 asks which observables can separate the interference mechanisms of interest. Section 6 reviews open-set recognition, Section 7 evaluation under distribution shift, and Section 8 positions this project and its contributions against the literature.</w:t>
      </w:r>
    </w:p>
    <w:bookmarkEnd w:id="21"/>
    <w:bookmarkStart w:id="22" w:name="Xc8693dbcf5e6b0d9eb32d48491d9530783ed0da"/>
    <w:p>
      <w:pPr>
        <w:pStyle w:val="Heading2"/>
      </w:pPr>
      <w:r>
        <w:t xml:space="preserve">2. Monitoring practice and classical detection</w:t>
      </w:r>
    </w:p>
    <w:p>
      <w:pPr>
        <w:pStyle w:val="FirstParagraph"/>
      </w:pPr>
      <w:r>
        <w:t xml:space="preserve">Classical interference detection treats the problem as hypothesis testing on received energy. One well-developed line of work places a monitoring unit on board the satellite: the desired signal is decoded and subtracted, and an energy detector is applied to the residual [8]. Analyses of imperfect cancellation [8] and of weak interference [9] showed that cancellation substantially improves the detection of low-power interference under noise and signal-power uncertainty. Pérez-Neira et al. framed the advantage of on-board detection as avoiding the downlink noise and transponder distortion that degrade detection on the ground [7]. For a ground operator this is the key observation: the monitored spectrum is not a clean view of the uplink.</w:t>
      </w:r>
    </w:p>
    <w:p>
      <w:pPr>
        <w:pStyle w:val="BodyText"/>
      </w:pPr>
      <w:r>
        <w:t xml:space="preserve">With y[n] the received samples and ŝ[n] the reconstructed desired signal, the detector compares the residual energy with a threshold γ set for a target false-alarm probability:</w:t>
      </w:r>
    </w:p>
    <w:p>
      <w:pPr>
        <w:pStyle w:val="BodyText"/>
      </w:pPr>
      <m:oMathPara>
        <m:oMathParaPr>
          <m:jc m:val="center"/>
        </m:oMathParaPr>
        <m:oMath>
          <m:r>
            <m:t>Λ</m:t>
          </m:r>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sSup>
                <m:e>
                  <m:d>
                    <m:dPr>
                      <m:begChr m:val="|"/>
                      <m:endChr m:val="|"/>
                      <m:sepChr m:val=""/>
                      <m:grow/>
                    </m:dPr>
                    <m:e>
                      <m:r>
                        <m:t>y</m:t>
                      </m:r>
                      <m:d>
                        <m:dPr>
                          <m:begChr m:val="["/>
                          <m:endChr m:val="]"/>
                          <m:sepChr m:val=""/>
                          <m:grow/>
                        </m:dPr>
                        <m:e>
                          <m:r>
                            <m:t>n</m:t>
                          </m:r>
                        </m:e>
                      </m:d>
                      <m:r>
                        <m:rPr>
                          <m:sty m:val="p"/>
                        </m:rPr>
                        <m:t>−</m:t>
                      </m:r>
                      <m:acc>
                        <m:accPr>
                          <m:chr m:val="̂"/>
                        </m:accPr>
                        <m:e>
                          <m:r>
                            <m:t>s</m:t>
                          </m:r>
                        </m:e>
                      </m:acc>
                      <m:d>
                        <m:dPr>
                          <m:begChr m:val="["/>
                          <m:endChr m:val="]"/>
                          <m:sepChr m:val=""/>
                          <m:grow/>
                        </m:dPr>
                        <m:e>
                          <m:r>
                            <m:t>n</m:t>
                          </m:r>
                        </m:e>
                      </m:d>
                    </m:e>
                  </m:d>
                </m:e>
                <m:sup>
                  <m:r>
                    <m:t>2</m:t>
                  </m:r>
                </m:sup>
              </m:sSup>
            </m:e>
          </m:nary>
          <m:r>
            <m:t> </m:t>
          </m:r>
          <m:limLow>
            <m:e>
              <m:limUpp>
                <m:e>
                  <m:r>
                    <m:rPr>
                      <m:sty m:val="p"/>
                    </m:rPr>
                    <m:t>≷</m:t>
                  </m:r>
                </m:e>
                <m:lim>
                  <m:sSub>
                    <m:e>
                      <m:r>
                        <m:rPr>
                          <m:sty m:val="p"/>
                          <m:scr m:val="script"/>
                        </m:rPr>
                        <m:t>H</m:t>
                      </m:r>
                    </m:e>
                    <m:sub>
                      <m:r>
                        <m:t>1</m:t>
                      </m:r>
                    </m:sub>
                  </m:sSub>
                </m:lim>
              </m:limUpp>
            </m:e>
            <m:lim>
              <m:sSub>
                <m:e>
                  <m:r>
                    <m:rPr>
                      <m:sty m:val="p"/>
                      <m:scr m:val="script"/>
                    </m:rPr>
                    <m:t>H</m:t>
                  </m:r>
                </m:e>
                <m:sub>
                  <m:r>
                    <m:t>0</m:t>
                  </m:r>
                </m:sub>
              </m:sSub>
            </m:lim>
          </m:limLow>
          <m:r>
            <m:t> </m:t>
          </m:r>
          <m:r>
            <m:t>γ</m:t>
          </m:r>
        </m:oMath>
      </m:oMathPara>
    </w:p>
    <w:p>
      <w:pPr>
        <w:pStyle w:val="FirstParagraph"/>
      </w:pPr>
      <w:r>
        <w:t xml:space="preserve">Imperfect cancellation leaves part of the desired signal in Λ, which is the effect analyzed in [8].</w:t>
      </w:r>
    </w:p>
    <w:p>
      <w:pPr>
        <w:pStyle w:val="BodyText"/>
      </w:pPr>
      <w:r>
        <w:t xml:space="preserve">Ground monitoring relies on the standard tools of spectral detection. Cell-averaging constant false-alarm rate (CA-CFAR) detection [10] sets adaptive thresholds against the local noise floor and is the natural baseline for spotting unexpected spectral peaks. Cyclostationary detection [11] exploits the periodic statistics of modulated signals; it is more robust at low SNR and can separate signals that overlap in frequency, at higher computational cost. Simpler schemes, such as tone detection within the subchannels of an on-board digital channelizer [12], target a single interference type. Energy tests principally detect deviations from the expected signal or noise model. Cyclostationary methods can additionally expose symbol rates and other waveform structure, but these features alone need not identify an operational cause such as antenna misalignment or an unauthorized transmitter.</w:t>
      </w:r>
    </w:p>
    <w:p>
      <w:pPr>
        <w:pStyle w:val="BodyText"/>
      </w:pPr>
      <w:r>
        <w:t xml:space="preserve">For a spectral bin i with N_r reference cells R_i around it, CA-CFAR scales the mean reference power by a factor η chosen for the design false-alarm probability. For square-law detection in exponentially distributed noise,</w:t>
      </w:r>
    </w:p>
    <w:p>
      <w:pPr>
        <w:pStyle w:val="BodyText"/>
      </w:pPr>
      <m:oMathPara>
        <m:oMathParaPr>
          <m:jc m:val="center"/>
        </m:oMathParaPr>
        <m:oMath>
          <m:sSub>
            <m:e>
              <m:r>
                <m:t>γ</m:t>
              </m:r>
            </m:e>
            <m:sub>
              <m:r>
                <m:t>i</m:t>
              </m:r>
            </m:sub>
          </m:sSub>
          <m:r>
            <m:rPr>
              <m:sty m:val="p"/>
            </m:rPr>
            <m:t>=</m:t>
          </m:r>
          <m:r>
            <m:t>η</m:t>
          </m:r>
          <m:r>
            <m:rPr>
              <m:sty m:val="p"/>
            </m:rPr>
            <m:t>⋅</m:t>
          </m:r>
          <m:f>
            <m:fPr>
              <m:type m:val="bar"/>
            </m:fPr>
            <m:num>
              <m:r>
                <m:t>1</m:t>
              </m:r>
            </m:num>
            <m:den>
              <m:sSub>
                <m:e>
                  <m:r>
                    <m:t>N</m:t>
                  </m:r>
                </m:e>
                <m:sub>
                  <m:r>
                    <m:t>r</m:t>
                  </m:r>
                </m:sub>
              </m:sSub>
            </m:den>
          </m:f>
          <m:nary>
            <m:naryPr>
              <m:chr m:val="∑"/>
              <m:limLoc m:val="undOvr"/>
              <m:subHide m:val="off"/>
              <m:supHide m:val="on"/>
            </m:naryPr>
            <m:sub>
              <m:r>
                <m:t>j</m:t>
              </m:r>
              <m:r>
                <m:rPr>
                  <m:sty m:val="p"/>
                </m:rPr>
                <m:t>∈</m:t>
              </m:r>
              <m:sSub>
                <m:e>
                  <m:r>
                    <m:rPr>
                      <m:sty m:val="p"/>
                      <m:scr m:val="script"/>
                    </m:rPr>
                    <m:t>R</m:t>
                  </m:r>
                </m:e>
                <m:sub>
                  <m:r>
                    <m:t>i</m:t>
                  </m:r>
                </m:sub>
              </m:sSub>
            </m:sub>
            <m:sup>
              <m:r>
                <m:t>​</m:t>
              </m:r>
            </m:sup>
            <m:e>
              <m:sSub>
                <m:e>
                  <m:r>
                    <m:t>P</m:t>
                  </m:r>
                </m:e>
                <m:sub>
                  <m:r>
                    <m:t>j</m:t>
                  </m:r>
                </m:sub>
              </m:sSub>
            </m:e>
          </m:nary>
          <m:r>
            <m:rPr>
              <m:sty m:val="p"/>
            </m:rPr>
            <m:t>,</m:t>
          </m:r>
          <m:r>
            <m:t>  </m:t>
          </m:r>
          <m:r>
            <m:t>η</m:t>
          </m:r>
          <m:r>
            <m:rPr>
              <m:sty m:val="p"/>
            </m:rPr>
            <m:t>=</m:t>
          </m:r>
          <m:sSub>
            <m:e>
              <m:r>
                <m:t>N</m:t>
              </m:r>
            </m:e>
            <m:sub>
              <m:r>
                <m:t>r</m:t>
              </m:r>
            </m:sub>
          </m:sSub>
          <m:d>
            <m:dPr>
              <m:begChr m:val="("/>
              <m:endChr m:val=")"/>
              <m:sepChr m:val=""/>
              <m:grow/>
            </m:dPr>
            <m:e>
              <m:sSubSup>
                <m:e>
                  <m:r>
                    <m:t>P</m:t>
                  </m:r>
                </m:e>
                <m:sub>
                  <m:r>
                    <m:rPr>
                      <m:sty m:val="p"/>
                    </m:rPr>
                    <m:t>F</m:t>
                  </m:r>
                  <m:r>
                    <m:rPr>
                      <m:sty m:val="p"/>
                    </m:rPr>
                    <m:t>A</m:t>
                  </m:r>
                </m:sub>
                <m:sup>
                  <m:r>
                    <m:rPr>
                      <m:sty m:val="p"/>
                    </m:rPr>
                    <m:t>−</m:t>
                  </m:r>
                  <m:r>
                    <m:t>1</m:t>
                  </m:r>
                  <m:r>
                    <m:rPr>
                      <m:sty m:val="p"/>
                    </m:rPr>
                    <m:t>/</m:t>
                  </m:r>
                  <m:sSub>
                    <m:e>
                      <m:r>
                        <m:t>N</m:t>
                      </m:r>
                    </m:e>
                    <m:sub>
                      <m:r>
                        <m:t>r</m:t>
                      </m:r>
                    </m:sub>
                  </m:sSub>
                </m:sup>
              </m:sSubSup>
              <m:r>
                <m:rPr>
                  <m:sty m:val="p"/>
                </m:rPr>
                <m:t>−</m:t>
              </m:r>
              <m:r>
                <m:t>1</m:t>
              </m:r>
            </m:e>
          </m:d>
        </m:oMath>
      </m:oMathPara>
    </w:p>
    <w:p>
      <w:pPr>
        <w:pStyle w:val="FirstParagraph"/>
      </w:pPr>
      <w:r>
        <w:t xml:space="preserve">This form holds for single-look periodogram bins in homogeneous noise. Welch-averaged cells follow a Gamma law and need the L-look expression, and in a loaded transponder the reference cells should be selected from a declared plan-masked residual rather than across carriers. Masking does not restore the ideal noise law by itself: spectral leakage, window correlation and nonuniform residuals require empirical false-alarm calibration. Distinguish per-bin false alarms from the probability of at least one alarm over a frame or monitoring interval. The cyclostationary counterpart is introduced in Section 5, where it matters most.</w:t>
      </w:r>
    </w:p>
    <w:p>
      <w:pPr>
        <w:pStyle w:val="BodyText"/>
      </w:pPr>
      <w:r>
        <w:t xml:space="preserve">Identification has instead been pursued through cooperation and regulation. ITU-R Recommendation S.2062 defines a carrier identification (CID) system for occasional-use earth stations [13], and the DVB-CID metacarrier embeds a transmitter identity 27.5 dB below the host carrier’s spectral density [14]. CID resolves the source of a carrier when the offending terminal transmits one, which is precisely what unauthorized or misconfigured equipment cannot be relied upon to do.</w:t>
      </w:r>
    </w:p>
    <w:p>
      <w:pPr>
        <w:pStyle w:val="BodyText"/>
      </w:pPr>
      <w:r>
        <w:t xml:space="preserve">The hardest operational case, carrier-under-carrier interference, shows the limit of energy-based detection. When an unwanted carrier sits underneath an authorized one, the composite spectrum looks almost normal. Commercial monitoring systems — Rohde &amp; Schwarz GSACSM [15], Integrasys VectorSat [16], Calian Decimator [17] and Kratos Monics [3] — advertise carrier-under-carrier detection. Where the method is documented, it works by cancelling the known host carrier and inspecting the residual [15], or by PCMA carrier cancellation [3], rather than by reading the power spectrum. Their performance claims are vendor statements without independent benchmarks. This practice already suggests that a learned recognizer cannot rely on the power spectrum alone for every class; Section 5 returns to this point.</w:t>
      </w:r>
    </w:p>
    <w:bookmarkEnd w:id="22"/>
    <w:bookmarkStart w:id="23" w:name="learning-based-interference-recognition"/>
    <w:p>
      <w:pPr>
        <w:pStyle w:val="Heading2"/>
      </w:pPr>
      <w:r>
        <w:t xml:space="preserve">3. Learning-based interference recognition</w:t>
      </w:r>
    </w:p>
    <w:p>
      <w:pPr>
        <w:pStyle w:val="FirstParagraph"/>
      </w:pPr>
      <w:r>
        <w:t xml:space="preserve">Deep learning entered satellite interference work as a way to replace hand-set thresholds with learned models of normal behavior. A study trained a sparse autoencoder on real Ku-band DVB-S2 captures to flag interference by reconstruction error, and added an LSTM to classify digitally inserted terrestrial interferers such as LTE, UMTS and GSM [18]. A parallel approach trained an LSTM to predict the interference-free spectrum from real operator recordings and flagged deviations from that prediction [19]. ESA-funded work co-authored with Eutelsat also examines learning-based satellite operations [6]. These systems learn what clean spectra look like, not what different interferers look like, so they detect but do not recognize.</w:t>
      </w:r>
    </w:p>
    <w:p>
      <w:pPr>
        <w:pStyle w:val="BodyText"/>
      </w:pPr>
      <w:r>
        <w:t>The most active recent line, from SnT’s SmartSpace project, learns from simulated interference. An on-board CNN localized NGSO interference to one of five subbands of a GSO uplink, with reduced-size FFT magnitudes giving the best accuracy [20]. On the ground side, a sequence of reconstruction-based detectors for NGSO-to-GSO downlink interference [21], [22], [23] culminated in a transformer detector (TrID) evaluated against autoencoder and energy-detector baselines [23]. The 2026 Agon framework adds masked-autoencoder pre-training, a dual-attention transformer, HOS-augmented attention (a feature-covariance term that the authors describe as a tractable second-order proxy for higher-order statistics), wavelet regularization and a multi-task head, reaching an AUC of 0.9327 on the public NGSO–GSO dataset against 0.8318 reported for TrID when the same authors re-evaluated it [24]. Closed-set classifiers recognize five to fifteen interference types — tones, narrowband, sweep, pulse, noise and spread-spectrum interference, and pairwise combinations — mostly in simulated AWGN channels [25], [26], [27], and on-board studies show such models can run on candidate on-board AI accelerators [28]. Surveys of AI for satellite communications count interference management among the most developed applications [29], [30], [31].</w:t>
      </w:r>
    </w:p>
    <w:p>
      <w:pPr>
        <w:pStyle w:val="BodyText"/>
      </w:pPr>
      <w:r>
        <w:t xml:space="preserve">Several of the simulation-based detection studies reviewed above use additive desired-signal and interference models. That abstraction does not by itself establish performance for a ground monitor observing a loaded nonlinear transponder. The relevant comparison is whether a study explicitly models and independently varies multicarrier loading, amplifier behavior, multiplexer filtering, polarization coupling and carrier-plan information. Real captures in [6], [18] and [19] can contain these effects without providing controlled labels, while Agon includes a hardware testbed [24]. Accordingly, absence of a documented controlled payload sweep is the gap supported here; universal absence of payload effects across all cited work is not asserted. Anomaly detection also differs from the joint task of naming known mechanisms and rejecting unseen classes.</w:t>
      </w:r>
    </w:p>
    <w:p>
      <w:pPr>
        <w:pStyle w:val="BodyText"/>
      </w:pPr>
      <w:r>
        <w:t>The closest methodological precedent is in GNSS. Fraunhofer IIS has built a sustained program of interference classification on real recordings: multimodal fusion of spectral and time-domain inputs with Monte Carlo dropout as a reliability measure [32], low-cost monitoring stations [33], few-shot learning for novel interference classes [34], and evaluation under real-world discrepancies between controlled and field data [35]. Related work disentangles interference factors with variational autoencoders [36], releases fully simulated datasets with documented generators [37], and classifies jamming observed from terrestrial and LEO stations [38]. Ivanov et al. [39] add a useful one-class precedent, detecting GNSS RFI from aircraft GPS/AHRS time series rather than wideband RF IQ. Heublein et al. [40] study pseudo-labeling and uncertainty-based station orchestration for indoor-to-field transfer. The former supports anomaly-detection methodology, while the latter concerns adaptation/generalization; neither supplies a GEO transponder recognition benchmark. GNSS interference differs physically from the GEO case — the desired signal lies below the noise floor, and the interferer catalogue is dominated by chirp and pulsed sources — but the GNSS literature sets the evaluation standard we adopt: condition-based splits, explicit novel-class protocols and uncertainty-aware rejection.</w:t>
      </w:r>
    </w:p>
    <w:p>
      <w:pPr>
        <w:pStyle w:val="BodyText"/>
      </w:pPr>
      <w:r>
        <w:t>General RF deep learning supplies the model building blocks. Over-the-air experiments with RadioML established that residual networks classify radio signals well, and that simulation-trained models degrade on real captures [41]. The historical Sig53 [42] and wideband recognition work [43] motivate narrowband and wideband RF learning. The current TorchSig README describes configurable synthetic IQ generation and dataset creation/loading [44]; it does not advertise a ready-made dataset called WidebandSig53. We therefore use [43] as historical literature and TorchSig as a generator, with version and generation configuration recorded for any actual experiment. Beyond end-to-end learning from spectrum data [45], two results bear directly on our design: CNNs trained on spectral-correlation-function inputs outperform raw-signal networks on real captures [46], and cyclostationary features can be paired with a compact deep classifier at low energy cost on an FPGA [47]. Both motivate the cyclic-feature branch. On model size, small CNNs have been shown to suffice for interference classification [48], and time–frequency representations work well for interference in frequency-hopping systems [49]. A survey of deep-learning interference suppression also identifies open-set and out-of-distribution recognition as under-studied [50]. Residual networks [51], spectrogram transformers [52] and feature-wise conditioning [53] provide the standard mechanisms for a plan-conditioned recognizer.</w:t>
      </w:r>
    </w:p>
    <w:bookmarkEnd w:id="23"/>
    <w:bookmarkStart w:id="25" w:name="X658aaec36ac392ca1f76c4a68c04758dbbba841"/>
    <w:p>
      <w:pPr>
        <w:pStyle w:val="Heading2"/>
      </w:pPr>
      <w:r>
        <w:t xml:space="preserve">4. The transponder as part of the observation</w:t>
      </w:r>
    </w:p>
    <w:p>
      <w:pPr>
        <w:pStyle w:val="FirstParagraph"/>
      </w:pPr>
      <w:r>
        <w:t>For carriers relayed by a bent-pipe GEO payload, the monitored downlink contains the response of an input multiplexer (IMUX), a travelling-wave tube amplifier (TWTA) and an output multiplexer (OMUX); interference entering downstream at the ground monitor does not traverse this chain. The analytic Saleh model [54] provides a memoryless AM/AM and AM/PM alternative, not a uniquely validated flight-TWTA description. The DVB-S2 reference chain [55], [56] and ETSI DVB-S2X guidelines [105, §4.4.1.4] provide distinct published amplifier and channel examples. ETSI EN 302 307-1 [106, informative Annex H.7, Figures H.2–H.4] provides example conventional and linearized characteristics and IMUX/OMUX responses; such examples should not be confused with an independently calibrated multi-carrier flight payload. ETSI TR 102 376-2 [105, §4.4.1.3] already incorporates cross-polar interference in an aggregate link-level C/I model. The proposed research asks which carrier-level observables help distinguish individual mechanisms.</w:t>
      </w:r>
    </w:p>
    <w:p>
      <w:pPr>
        <w:pStyle w:val="BodyText"/>
      </w:pPr>
      <w:r>
        <w:t xml:space="preserve">The project’s system-model specification and transponder-source note identify</w:t>
      </w:r>
      <w:r>
        <w:t xml:space="preserve"> </w:t>
      </w:r>
      <w:r>
        <w:rPr>
          <w:rStyle w:val="VerbatimChar"/>
        </w:rPr>
        <w:t xml:space="preserve">dvbs2_nl</w:t>
      </w:r>
      <w:r>
        <w:t xml:space="preserve"> </w:t>
      </w:r>
      <w:r>
        <w:t xml:space="preserve">(H.3) as the default and</w:t>
      </w:r>
      <w:r>
        <w:t xml:space="preserve"> </w:t>
      </w:r>
      <w:r>
        <w:rPr>
          <w:rStyle w:val="VerbatimChar"/>
        </w:rPr>
        <w:t xml:space="preserve">dvbs2_lin</w:t>
      </w:r>
      <w:r>
        <w:t xml:space="preserve"> </w:t>
      </w:r>
      <w:r>
        <w:t xml:space="preserve">(H.2) as an alternative, extracted from vector curves by</w:t>
      </w:r>
      <w:r>
        <w:t xml:space="preserve"> </w:t>
      </w:r>
      <w:r>
        <w:rPr>
          <w:rStyle w:val="VerbatimChar"/>
        </w:rPr>
        <w:t xml:space="preserve">scripts/digitize_twta_figures.py</w:t>
      </w:r>
      <w:r>
        <w:t xml:space="preserve">.</w:t>
      </w:r>
      <w:r>
        <w:t xml:space="preserve"> </w:t>
      </w:r>
      <w:r>
        <w:rPr>
          <w:rStyle w:val="VerbatimChar"/>
        </w:rPr>
        <w:t xml:space="preserve">scripts/build_mux_filters.py</w:t>
      </w:r>
      <w:r>
        <w:t xml:space="preserve"> </w:t>
      </w:r>
      <w:r>
        <w:t xml:space="preserve">derives FIR filters from the official filter tables. Saleh is an analytical alternative and amplifier-mismatch case, not the source of those default curves. A multicarrier sweep is a project extension of the single-carrier reference characterization. Exact code/data revisions and digitization uncertainty must accompany experimental results.</w:t>
      </w:r>
    </w:p>
    <w:p>
      <w:pPr>
        <w:pStyle w:val="BodyText"/>
      </w:pPr>
      <w:r>
        <w:t>Figure 1 sketches the two-polarization observation chain and the associated RF reference planes. Uplink polarization leakage acts before the relevant payload IMUX; downlink leakage and external downlink interference enter after the payload and before or at the monitoring receiver. The two coupling responses need not be symmetric or frequency flat. Availability of synchronized co/cross receiver inputs and of a frozen operator plan is a conditional requirement, not an operator-wide guarantee.</w:t>
      </w:r>
    </w:p>
    <w:p>
      <w:pPr>
        <w:jc w:val="center"/>
      </w:pPr>
      <w:r>
        <w:drawing>
          <wp:inline>
            <wp:extent cx="6172200" cy="2906327"/>
            <wp:docPr id="1" name="Picture 1" descr="Conceptual co- and cross-polarization observation chain with separate uplink and downlink leakage, IMUX, TWTA, OMUX, and conditional monitoring inputs."/>
            <wp:cNvGraphicFramePr>
              <a:graphicFrameLocks noChangeAspect="1"/>
            </wp:cNvGraphicFramePr>
            <a:graphic>
              <a:graphicData uri="http://schemas.openxmlformats.org/drawingml/2006/picture">
                <pic:pic>
                  <pic:nvPicPr>
                    <pic:cNvPr id="0" name="Figure_1_observation_chain_editorial.png"/>
                    <pic:cNvPicPr/>
                  </pic:nvPicPr>
                  <pic:blipFill>
                    <a:blip r:embed="rId9"/>
                    <a:stretch>
                      <a:fillRect/>
                    </a:stretch>
                  </pic:blipFill>
                  <pic:spPr>
                    <a:xfrm>
                      <a:off x="0" y="0"/>
                      <a:ext cx="6172200" cy="2906327"/>
                    </a:xfrm>
                    <a:prstGeom prst="rect"/>
                  </pic:spPr>
                </pic:pic>
              </a:graphicData>
            </a:graphic>
          </wp:inline>
        </w:drawing>
      </w:r>
    </w:p>
    <w:p>
      <w:pPr>
        <w:pStyle w:val="Caption"/>
      </w:pPr>
      <w:r>
        <w:t>Figure 1. Conceptual signal-entry and observation planes. Independently defined complex uplink and downlink cross-polar coupling; all proposed input features are conditional on available receiver information. Editorial diagram, not a reconstructed measurement.</w:t>
      </w:r>
    </w:p>
    <w:p>
      <w:pPr>
        <w:pStyle w:val="FirstParagraph"/>
      </w:pPr>
      <w:r>
        <w:t xml:space="preserve">In compact form, the composite uplink with K planned carriers and M interferers is</w:t>
      </w:r>
    </w:p>
    <w:p>
      <w:pPr>
        <w:pStyle w:val="BodyText"/>
      </w:pPr>
      <m:oMathPara>
        <m:oMathParaPr>
          <m:jc m:val="center"/>
        </m:oMathParaPr>
        <m:oMath>
          <m:r>
            <m:t>x</m:t>
          </m:r>
          <m:d>
            <m:dPr>
              <m:begChr m:val="("/>
              <m:endChr m:val=")"/>
              <m:sepChr m:val=""/>
              <m:grow/>
            </m:dPr>
            <m:e>
              <m:r>
                <m:t>t</m:t>
              </m:r>
            </m:e>
          </m:d>
          <m:r>
            <m:rPr>
              <m:sty m:val="p"/>
            </m:rPr>
            <m:t>=</m:t>
          </m:r>
          <m:nary>
            <m:naryPr>
              <m:chr m:val="∑"/>
              <m:limLoc m:val="undOvr"/>
              <m:subHide m:val="off"/>
              <m:supHide m:val="off"/>
            </m:naryPr>
            <m:sub>
              <m:r>
                <m:t>k</m:t>
              </m:r>
              <m:r>
                <m:rPr>
                  <m:sty m:val="p"/>
                </m:rPr>
                <m:t>=</m:t>
              </m:r>
              <m:r>
                <m:t>1</m:t>
              </m:r>
            </m:sub>
            <m:sup>
              <m:r>
                <m:t>K</m:t>
              </m:r>
            </m:sup>
            <m:e>
              <m:rad>
                <m:radPr>
                  <m:degHide m:val="on"/>
                </m:radPr>
                <m:deg/>
                <m:e>
                  <m:sSub>
                    <m:e>
                      <m:r>
                        <m:t>P</m:t>
                      </m:r>
                    </m:e>
                    <m:sub>
                      <m:r>
                        <m:t>k</m:t>
                      </m:r>
                    </m:sub>
                  </m:sSub>
                </m:e>
              </m:rad>
            </m:e>
          </m:nary>
          <m:r>
            <m:t> </m:t>
          </m:r>
          <m:sSub>
            <m:e>
              <m:r>
                <m:t>s</m:t>
              </m:r>
            </m:e>
            <m:sub>
              <m:r>
                <m:t>k</m:t>
              </m:r>
            </m:sub>
          </m:sSub>
          <m:d>
            <m:dPr>
              <m:begChr m:val="("/>
              <m:endChr m:val=")"/>
              <m:sepChr m:val=""/>
              <m:grow/>
            </m:dPr>
            <m:e>
              <m:r>
                <m:t>t</m:t>
              </m:r>
            </m:e>
          </m:d>
          <m:r>
            <m:t> </m:t>
          </m:r>
          <m:sSup>
            <m:e>
              <m:r>
                <m:t>e</m:t>
              </m:r>
            </m:e>
            <m:sup>
              <m:r>
                <m:t> </m:t>
              </m:r>
              <m:r>
                <m:t>j</m:t>
              </m:r>
              <m:d>
                <m:dPr>
                  <m:begChr m:val="("/>
                  <m:endChr m:val=")"/>
                  <m:sepChr m:val=""/>
                  <m:grow/>
                </m:dPr>
                <m:e>
                  <m:r>
                    <m:t>2</m:t>
                  </m:r>
                  <m:r>
                    <m:t>π</m:t>
                  </m:r>
                  <m:sSub>
                    <m:e>
                      <m:r>
                        <m:t>f</m:t>
                      </m:r>
                    </m:e>
                    <m:sub>
                      <m:r>
                        <m:t>k</m:t>
                      </m:r>
                    </m:sub>
                  </m:sSub>
                  <m:r>
                    <m:t>t</m:t>
                  </m:r>
                  <m:r>
                    <m:rPr>
                      <m:sty m:val="p"/>
                    </m:rPr>
                    <m:t>+</m:t>
                  </m:r>
                  <m:sSub>
                    <m:e>
                      <m:r>
                        <m:t>θ</m:t>
                      </m:r>
                    </m:e>
                    <m:sub>
                      <m:r>
                        <m:t>k</m:t>
                      </m:r>
                    </m:sub>
                  </m:sSub>
                  <m:d>
                    <m:dPr>
                      <m:begChr m:val="("/>
                      <m:endChr m:val=")"/>
                      <m:sepChr m:val=""/>
                      <m:grow/>
                    </m:dPr>
                    <m:e>
                      <m:r>
                        <m:t>t</m:t>
                      </m:r>
                    </m:e>
                  </m:d>
                </m:e>
              </m:d>
            </m:sup>
          </m:sSup>
          <m:r>
            <m:rPr>
              <m:sty m:val="p"/>
            </m:rPr>
            <m:t>+</m:t>
          </m:r>
          <m:nary>
            <m:naryPr>
              <m:chr m:val="∑"/>
              <m:limLoc m:val="undOvr"/>
              <m:subHide m:val="off"/>
              <m:supHide m:val="off"/>
            </m:naryPr>
            <m:sub>
              <m:r>
                <m:t>m</m:t>
              </m:r>
              <m:r>
                <m:rPr>
                  <m:sty m:val="p"/>
                </m:rPr>
                <m:t>=</m:t>
              </m:r>
              <m:r>
                <m:t>1</m:t>
              </m:r>
            </m:sub>
            <m:sup>
              <m:r>
                <m:t>M</m:t>
              </m:r>
            </m:sup>
            <m:e>
              <m:sSub>
                <m:e>
                  <m:r>
                    <m:t>i</m:t>
                  </m:r>
                </m:e>
                <m:sub>
                  <m:r>
                    <m:t>m</m:t>
                  </m:r>
                </m:sub>
              </m:sSub>
            </m:e>
          </m:nary>
          <m:d>
            <m:dPr>
              <m:begChr m:val="("/>
              <m:endChr m:val=")"/>
              <m:sepChr m:val=""/>
              <m:grow/>
            </m:dPr>
            <m:e>
              <m:r>
                <m:t>t</m:t>
              </m:r>
            </m:e>
          </m:d>
          <m:r>
            <m:rPr>
              <m:sty m:val="p"/>
            </m:rPr>
            <m:t>+</m:t>
          </m:r>
          <m:sSub>
            <m:e>
              <m:r>
                <m:t>n</m:t>
              </m:r>
            </m:e>
            <m:sub>
              <m:r>
                <m:t>u</m:t>
              </m:r>
            </m:sub>
          </m:sSub>
          <m:d>
            <m:dPr>
              <m:begChr m:val="("/>
              <m:endChr m:val=")"/>
              <m:sepChr m:val=""/>
              <m:grow/>
            </m:dPr>
            <m:e>
              <m:r>
                <m:t>t</m:t>
              </m:r>
            </m:e>
          </m:d>
        </m:oMath>
      </m:oMathPara>
    </w:p>
    <w:p>
      <w:pPr>
        <w:pStyle w:val="FirstParagraph"/>
      </w:pPr>
      <w:r>
        <w:t xml:space="preserve">where s_k(t) has unit mean power and represents the selected pulse-shaped modulation, θ_k(t) is the phase noise of the k-th uplink and n_u(t) is uplink noise; the satellite local-oscillator phase noise, common to all carriers in the transponder, is applied at the IMUX input. The downlink observation is</w:t>
      </w:r>
    </w:p>
    <w:p>
      <w:pPr>
        <w:pStyle w:val="BodyText"/>
      </w:pPr>
      <m:oMathPara>
        <m:oMathParaPr>
          <m:jc m:val="center"/>
        </m:oMathParaPr>
        <m:oMath>
          <m:r>
            <m:t>y</m:t>
          </m:r>
          <m:d>
            <m:dPr>
              <m:begChr m:val="("/>
              <m:endChr m:val=")"/>
              <m:sepChr m:val=""/>
              <m:grow/>
            </m:dPr>
            <m:e>
              <m:r>
                <m:t>t</m:t>
              </m:r>
            </m:e>
          </m:d>
          <m:r>
            <m:rPr>
              <m:sty m:val="p"/>
            </m:rPr>
            <m:t>=</m:t>
          </m:r>
          <m:d>
            <m:dPr>
              <m:begChr m:val="("/>
              <m:endChr m:val=")"/>
              <m:sepChr m:val=""/>
              <m:grow/>
            </m:dPr>
            <m:e>
              <m:sSub>
                <m:e>
                  <m:r>
                    <m:t>h</m:t>
                  </m:r>
                </m:e>
                <m:sub>
                  <m:r>
                    <m:rPr>
                      <m:sty m:val="p"/>
                    </m:rPr>
                    <m:t>O</m:t>
                  </m:r>
                  <m:r>
                    <m:rPr>
                      <m:sty m:val="p"/>
                    </m:rPr>
                    <m:t>M</m:t>
                  </m:r>
                  <m:r>
                    <m:rPr>
                      <m:sty m:val="p"/>
                    </m:rPr>
                    <m:t>U</m:t>
                  </m:r>
                  <m:r>
                    <m:rPr>
                      <m:sty m:val="p"/>
                    </m:rPr>
                    <m:t>X</m:t>
                  </m:r>
                </m:sub>
              </m:sSub>
              <m:r>
                <m:rPr>
                  <m:sty m:val="p"/>
                </m:rPr>
                <m:t>*</m:t>
              </m:r>
              <m:r>
                <m:rPr>
                  <m:sty m:val="p"/>
                  <m:scr m:val="script"/>
                </m:rPr>
                <m:t>G</m:t>
              </m:r>
              <m:d>
                <m:dPr>
                  <m:begChr m:val="{"/>
                  <m:endChr m:val="}"/>
                  <m:sepChr m:val=""/>
                  <m:grow/>
                </m:dPr>
                <m:e>
                  <m:sSub>
                    <m:e>
                      <m:r>
                        <m:t>h</m:t>
                      </m:r>
                    </m:e>
                    <m:sub>
                      <m:r>
                        <m:rPr>
                          <m:sty m:val="p"/>
                        </m:rPr>
                        <m:t>I</m:t>
                      </m:r>
                      <m:r>
                        <m:rPr>
                          <m:sty m:val="p"/>
                        </m:rPr>
                        <m:t>M</m:t>
                      </m:r>
                      <m:r>
                        <m:rPr>
                          <m:sty m:val="p"/>
                        </m:rPr>
                        <m:t>U</m:t>
                      </m:r>
                      <m:r>
                        <m:rPr>
                          <m:sty m:val="p"/>
                        </m:rPr>
                        <m:t>X</m:t>
                      </m:r>
                    </m:sub>
                  </m:sSub>
                  <m:r>
                    <m:rPr>
                      <m:sty m:val="p"/>
                    </m:rPr>
                    <m:t>*</m:t>
                  </m:r>
                  <m:r>
                    <m:t>x</m:t>
                  </m:r>
                </m:e>
              </m:d>
            </m:e>
          </m:d>
          <m:d>
            <m:dPr>
              <m:begChr m:val="("/>
              <m:endChr m:val=")"/>
              <m:sepChr m:val=""/>
              <m:grow/>
            </m:dPr>
            <m:e>
              <m:r>
                <m:t>t</m:t>
              </m:r>
            </m:e>
          </m:d>
          <m:r>
            <m:rPr>
              <m:sty m:val="p"/>
            </m:rPr>
            <m:t>+</m:t>
          </m:r>
          <m:nary>
            <m:naryPr>
              <m:chr m:val="∑"/>
              <m:limLoc m:val="undOvr"/>
              <m:subHide m:val="off"/>
              <m:supHide m:val="on"/>
            </m:naryPr>
            <m:sub>
              <m:r>
                <m:t>l</m:t>
              </m:r>
            </m:sub>
            <m:sup>
              <m:r>
                <m:t>​</m:t>
              </m:r>
            </m:sup>
            <m:e>
              <m:sSub>
                <m:e>
                  <m:r>
                    <m:t>i</m:t>
                  </m:r>
                </m:e>
                <m:sub>
                  <m:r>
                    <m:t>d</m:t>
                  </m:r>
                  <m:r>
                    <m:rPr>
                      <m:sty m:val="p"/>
                    </m:rPr>
                    <m:t>,</m:t>
                  </m:r>
                  <m:r>
                    <m:t>l</m:t>
                  </m:r>
                </m:sub>
              </m:sSub>
            </m:e>
          </m:nary>
          <m:d>
            <m:dPr>
              <m:begChr m:val="("/>
              <m:endChr m:val=")"/>
              <m:sepChr m:val=""/>
              <m:grow/>
            </m:dPr>
            <m:e>
              <m:r>
                <m:t>t</m:t>
              </m:r>
            </m:e>
          </m:d>
          <m:r>
            <m:rPr>
              <m:sty m:val="p"/>
            </m:rPr>
            <m:t>+</m:t>
          </m:r>
          <m:sSub>
            <m:e>
              <m:r>
                <m:t>n</m:t>
              </m:r>
            </m:e>
            <m:sub>
              <m:r>
                <m:t>d</m:t>
              </m:r>
            </m:sub>
          </m:sSub>
          <m:d>
            <m:dPr>
              <m:begChr m:val="("/>
              <m:endChr m:val=")"/>
              <m:sepChr m:val=""/>
              <m:grow/>
            </m:dPr>
            <m:e>
              <m:r>
                <m:t>t</m:t>
              </m:r>
            </m:e>
          </m:d>
        </m:oMath>
      </m:oMathPara>
    </w:p>
    <w:p>
      <w:pPr>
        <w:pStyle w:val="FirstParagraph"/>
      </w:pPr>
      <w:r>
        <w:t xml:space="preserve">where i_{d,l}(t) are interferers that enter on the downlink and never pass through the TWTA — adjacent-satellite signals received by the monitoring antenna, or terrestrial C-band emitters [2] — so the generator labels which path each interferer takes. All amplitudes and powers in the nonlinear model use a declared normalized reference; P_k is a relative power weight unless an explicit watt-to-normalized-power mapping is supplied. Noise PSD and filter normalization must use the same reference. Using a DVB-S2 modulation and pulse shape alone does not establish a complete DVB-S2 frame, coding and pilot implementation. The common satellite-oscillator phase term must also be included explicitly in the implemented chain; it is omitted from the compact equations above. For the analytical Saleh alternative, the memoryless TWTA operator acts on the envelope of its input u(t):</w:t>
      </w:r>
    </w:p>
    <w:p>
      <w:pPr>
        <w:pStyle w:val="BodyText"/>
      </w:pPr>
      <m:oMathPara>
        <m:oMathParaPr>
          <m:jc m:val="center"/>
        </m:oMathParaPr>
        <m:oMath>
          <m:r>
            <m:rPr>
              <m:sty m:val="p"/>
              <m:scr m:val="script"/>
            </m:rPr>
            <m:t>G</m:t>
          </m:r>
          <m:r>
            <m:rPr>
              <m:sty m:val="p"/>
            </m:rPr>
            <m:t>{</m:t>
          </m:r>
          <m:r>
            <m:t>u</m:t>
          </m:r>
          <m:r>
            <m:rPr>
              <m:sty m:val="p"/>
            </m:rPr>
            <m:t>}</m:t>
          </m:r>
          <m:d>
            <m:dPr>
              <m:begChr m:val="("/>
              <m:endChr m:val=")"/>
              <m:sepChr m:val=""/>
              <m:grow/>
            </m:dPr>
            <m:e>
              <m:r>
                <m:t>t</m:t>
              </m:r>
            </m:e>
          </m:d>
          <m:r>
            <m:rPr>
              <m:sty m:val="p"/>
            </m:rPr>
            <m:t>=</m:t>
          </m:r>
          <m:r>
            <m:t>A</m:t>
          </m:r>
          <m:d>
            <m:dPr>
              <m:begChr m:val="("/>
              <m:endChr m:val=")"/>
              <m:sepChr m:val=""/>
              <m:grow/>
            </m:dPr>
            <m:e>
              <m:d>
                <m:dPr>
                  <m:begChr m:val="|"/>
                  <m:endChr m:val="|"/>
                  <m:sepChr m:val=""/>
                  <m:grow/>
                </m:dPr>
                <m:e>
                  <m:r>
                    <m:t>u</m:t>
                  </m:r>
                  <m:d>
                    <m:dPr>
                      <m:begChr m:val="("/>
                      <m:endChr m:val=")"/>
                      <m:sepChr m:val=""/>
                      <m:grow/>
                    </m:dPr>
                    <m:e>
                      <m:r>
                        <m:t>t</m:t>
                      </m:r>
                    </m:e>
                  </m:d>
                </m:e>
              </m:d>
            </m:e>
          </m:d>
          <m:r>
            <m:t> </m:t>
          </m:r>
          <m:sSup>
            <m:e>
              <m:r>
                <m:t>e</m:t>
              </m:r>
            </m:e>
            <m:sup>
              <m:r>
                <m:t> </m:t>
              </m:r>
              <m:r>
                <m:t>j</m:t>
              </m:r>
              <m:d>
                <m:dPr>
                  <m:begChr m:val="("/>
                  <m:endChr m:val=")"/>
                  <m:sepChr m:val=""/>
                  <m:grow/>
                </m:dPr>
                <m:e>
                  <m:r>
                    <m:rPr>
                      <m:sty m:val="p"/>
                    </m:rPr>
                    <m:t>arg</m:t>
                  </m:r>
                  <m:r>
                    <m:t>u</m:t>
                  </m:r>
                  <m:d>
                    <m:dPr>
                      <m:begChr m:val="("/>
                      <m:endChr m:val=")"/>
                      <m:sepChr m:val=""/>
                      <m:grow/>
                    </m:dPr>
                    <m:e>
                      <m:r>
                        <m:t>t</m:t>
                      </m:r>
                    </m:e>
                  </m:d>
                  <m:r>
                    <m:rPr>
                      <m:sty m:val="p"/>
                    </m:rPr>
                    <m:t>+</m:t>
                  </m:r>
                  <m:r>
                    <m:t>Φ</m:t>
                  </m:r>
                  <m:d>
                    <m:dPr>
                      <m:begChr m:val="("/>
                      <m:endChr m:val=")"/>
                      <m:sepChr m:val=""/>
                      <m:grow/>
                    </m:dPr>
                    <m:e>
                      <m:d>
                        <m:dPr>
                          <m:begChr m:val="|"/>
                          <m:endChr m:val="|"/>
                          <m:sepChr m:val=""/>
                          <m:grow/>
                        </m:dPr>
                        <m:e>
                          <m:r>
                            <m:t>u</m:t>
                          </m:r>
                          <m:d>
                            <m:dPr>
                              <m:begChr m:val="("/>
                              <m:endChr m:val=")"/>
                              <m:sepChr m:val=""/>
                              <m:grow/>
                            </m:dPr>
                            <m:e>
                              <m:r>
                                <m:t>t</m:t>
                              </m:r>
                            </m:e>
                          </m:d>
                        </m:e>
                      </m:d>
                    </m:e>
                  </m:d>
                </m:e>
              </m:d>
            </m:sup>
          </m:sSup>
          <m:r>
            <m:rPr>
              <m:sty m:val="p"/>
            </m:rPr>
            <m:t>,</m:t>
          </m:r>
          <m:r>
            <m:t>  </m:t>
          </m:r>
          <m:r>
            <m:t>A</m:t>
          </m:r>
          <m:d>
            <m:dPr>
              <m:begChr m:val="("/>
              <m:endChr m:val=")"/>
              <m:sepChr m:val=""/>
              <m:grow/>
            </m:dPr>
            <m:e>
              <m:r>
                <m:t>r</m:t>
              </m:r>
            </m:e>
          </m:d>
          <m:r>
            <m:rPr>
              <m:sty m:val="p"/>
            </m:rPr>
            <m:t>=</m:t>
          </m:r>
          <m:f>
            <m:fPr>
              <m:type m:val="bar"/>
            </m:fPr>
            <m:num>
              <m:sSub>
                <m:e>
                  <m:r>
                    <m:t>α</m:t>
                  </m:r>
                </m:e>
                <m:sub>
                  <m:r>
                    <m:t>a</m:t>
                  </m:r>
                </m:sub>
              </m:sSub>
              <m:r>
                <m:t>r</m:t>
              </m:r>
            </m:num>
            <m:den>
              <m:r>
                <m:t>1</m:t>
              </m:r>
              <m:r>
                <m:rPr>
                  <m:sty m:val="p"/>
                </m:rPr>
                <m:t>+</m:t>
              </m:r>
              <m:sSub>
                <m:e>
                  <m:r>
                    <m:t>β</m:t>
                  </m:r>
                </m:e>
                <m:sub>
                  <m:r>
                    <m:t>a</m:t>
                  </m:r>
                </m:sub>
              </m:sSub>
              <m:sSup>
                <m:e>
                  <m:r>
                    <m:t>r</m:t>
                  </m:r>
                </m:e>
                <m:sup>
                  <m:r>
                    <m:t>2</m:t>
                  </m:r>
                </m:sup>
              </m:sSup>
            </m:den>
          </m:f>
          <m:r>
            <m:rPr>
              <m:sty m:val="p"/>
            </m:rPr>
            <m:t>,</m:t>
          </m:r>
          <m:r>
            <m:t>  </m:t>
          </m:r>
          <m:r>
            <m:t>Φ</m:t>
          </m:r>
          <m:d>
            <m:dPr>
              <m:begChr m:val="("/>
              <m:endChr m:val=")"/>
              <m:sepChr m:val=""/>
              <m:grow/>
            </m:dPr>
            <m:e>
              <m:r>
                <m:t>r</m:t>
              </m:r>
            </m:e>
          </m:d>
          <m:r>
            <m:rPr>
              <m:sty m:val="p"/>
            </m:rPr>
            <m:t>=</m:t>
          </m:r>
          <m:f>
            <m:fPr>
              <m:type m:val="bar"/>
            </m:fPr>
            <m:num>
              <m:sSub>
                <m:e>
                  <m:r>
                    <m:t>α</m:t>
                  </m:r>
                </m:e>
                <m:sub>
                  <m:r>
                    <m:t>ϕ</m:t>
                  </m:r>
                </m:sub>
              </m:sSub>
              <m:sSup>
                <m:e>
                  <m:r>
                    <m:t>r</m:t>
                  </m:r>
                </m:e>
                <m:sup>
                  <m:r>
                    <m:t>2</m:t>
                  </m:r>
                </m:sup>
              </m:sSup>
            </m:num>
            <m:den>
              <m:r>
                <m:t>1</m:t>
              </m:r>
              <m:r>
                <m:rPr>
                  <m:sty m:val="p"/>
                </m:rPr>
                <m:t>+</m:t>
              </m:r>
              <m:sSub>
                <m:e>
                  <m:r>
                    <m:t>β</m:t>
                  </m:r>
                </m:e>
                <m:sub>
                  <m:r>
                    <m:t>ϕ</m:t>
                  </m:r>
                </m:sub>
              </m:sSub>
              <m:sSup>
                <m:e>
                  <m:r>
                    <m:t>r</m:t>
                  </m:r>
                </m:e>
                <m:sup>
                  <m:r>
                    <m:t>2</m:t>
                  </m:r>
                </m:sup>
              </m:sSup>
            </m:den>
          </m:f>
        </m:oMath>
      </m:oMathPara>
    </w:p>
    <w:p>
      <w:pPr>
        <w:pStyle w:val="FirstParagraph"/>
      </w:pPr>
      <w:r>
        <w:t xml:space="preserve">For this Saleh alternative, the output amplitude peaks at r_sat = 1/√β_a; the tabulated reference implementation uses its own declared saturation normalization. The operating point is set by the input back-off, where for multicarrier operation P_in is the total mean input power referred to single-carrier saturation</w:t>
      </w:r>
    </w:p>
    <w:p>
      <w:pPr>
        <w:pStyle w:val="BodyText"/>
      </w:pPr>
      <m:oMathPara>
        <m:oMathParaPr>
          <m:jc m:val="center"/>
        </m:oMathParaPr>
        <m:oMath>
          <m:r>
            <m:rPr>
              <m:sty m:val="p"/>
            </m:rPr>
            <m:t>I</m:t>
          </m:r>
          <m:r>
            <m:rPr>
              <m:sty m:val="p"/>
            </m:rPr>
            <m:t>B</m:t>
          </m:r>
          <m:r>
            <m:rPr>
              <m:sty m:val="p"/>
            </m:rPr>
            <m:t>O</m:t>
          </m:r>
          <m:r>
            <m:rPr>
              <m:sty m:val="p"/>
            </m:rPr>
            <m:t>=</m:t>
          </m:r>
          <m:r>
            <m:t>10</m:t>
          </m:r>
          <m:sSub>
            <m:e>
              <m:r>
                <m:rPr>
                  <m:sty m:val="p"/>
                </m:rPr>
                <m:t>log</m:t>
              </m:r>
            </m:e>
            <m:sub>
              <m:r>
                <m:t>10</m:t>
              </m:r>
            </m:sub>
          </m:sSub>
          <m:f>
            <m:fPr>
              <m:type m:val="bar"/>
            </m:fPr>
            <m:num>
              <m:sSub>
                <m:e>
                  <m:r>
                    <m:t>P</m:t>
                  </m:r>
                </m:e>
                <m:sub>
                  <m:r>
                    <m:rPr>
                      <m:sty m:val="p"/>
                    </m:rPr>
                    <m:t>i</m:t>
                  </m:r>
                  <m:r>
                    <m:rPr>
                      <m:sty m:val="p"/>
                    </m:rPr>
                    <m:t>n</m:t>
                  </m:r>
                  <m:r>
                    <m:rPr>
                      <m:sty m:val="p"/>
                    </m:rPr>
                    <m:t>,</m:t>
                  </m:r>
                  <m:r>
                    <m:rPr>
                      <m:sty m:val="p"/>
                    </m:rPr>
                    <m:t>s</m:t>
                  </m:r>
                  <m:r>
                    <m:rPr>
                      <m:sty m:val="p"/>
                    </m:rPr>
                    <m:t>a</m:t>
                  </m:r>
                  <m:r>
                    <m:rPr>
                      <m:sty m:val="p"/>
                    </m:rPr>
                    <m:t>t</m:t>
                  </m:r>
                </m:sub>
              </m:sSub>
            </m:num>
            <m:den>
              <m:sSub>
                <m:e>
                  <m:r>
                    <m:t>P</m:t>
                  </m:r>
                </m:e>
                <m:sub>
                  <m:r>
                    <m:rPr>
                      <m:sty m:val="p"/>
                    </m:rPr>
                    <m:t>i</m:t>
                  </m:r>
                  <m:r>
                    <m:rPr>
                      <m:sty m:val="p"/>
                    </m:rPr>
                    <m:t>n</m:t>
                  </m:r>
                </m:sub>
              </m:sSub>
            </m:den>
          </m:f>
          <m:r>
            <m:t> </m:t>
          </m:r>
          <m:r>
            <m:rPr>
              <m:sty m:val="p"/>
            </m:rPr>
            <m:t>d</m:t>
          </m:r>
          <m:r>
            <m:rPr>
              <m:sty m:val="p"/>
            </m:rPr>
            <m:t>B</m:t>
          </m:r>
        </m:oMath>
      </m:oMathPara>
    </w:p>
    <w:p>
      <w:pPr>
        <w:pStyle w:val="FirstParagraph"/>
      </w:pPr>
      <w:r>
        <w:t xml:space="preserve">For the illustrative coefficients αa = 2.1587, βa = 1.1517, αφ = 4.0033 and βφ = 9.1040, the AM/AM and AM/PM expressions can be evaluated analytically. Any plot of them needs an explicit amplitude and power normalization to be reproducible. A single-carrier continuous-wave calculation must not be interpreted as the mean response to a fluctuating multicarrier envelope.</w:t>
      </w:r>
    </w:p>
    <w:p>
      <w:pPr>
        <w:pStyle w:val="BodyText"/>
      </w:pPr>
      <w:r>
        <w:t>What matters for recognition is that the transponder creates spectral structure of its own. When several carriers share a TWTA, third-order intermodulation products fall at predictable frequencies such as 2f₁ − f₂, and their level rises faster than the carriers as drive increases [57]. The multiplexer filters introduce frequency-dependent delay and amplitude responses. Allegue-Martínez et al. [58] discuss resulting multicarrier and predistortion difficulties; this supports a filter–nonlinearity interaction, not the stronger statement that group delay “masks the TWTA characteristic.”</w:t>
      </w:r>
    </w:p>
    <w:p>
      <w:pPr>
        <w:pStyle w:val="BodyText"/>
      </w:pPr>
      <w:r>
        <w:t>Simulated noise-power-ratio tests of a Saleh-modelled space TWTA show how much intermodulation fills the band under loading [59], and multicarrier operation also causes power robbing and suppression of weak carriers [60]. Seen from the monitoring station, payload intermodulation is therefore a structured, plan-dependent spectral signature that sits alongside, and can be confused with, external interference.</w:t>
      </w:r>
    </w:p>
    <w:p>
      <w:pPr>
        <w:pStyle w:val="BodyText"/>
      </w:pPr>
      <w:r>
        <w:t xml:space="preserve">For carriers at f_1, …, f_K, the third-order products fall at</w:t>
      </w:r>
    </w:p>
    <w:p>
      <w:pPr>
        <w:pStyle w:val="BodyText"/>
      </w:pPr>
      <m:oMathPara>
        <m:oMathParaPr>
          <m:jc m:val="center"/>
        </m:oMathParaPr>
        <m:oMath>
          <m:sSub>
            <m:e>
              <m:r>
                <m:t>f</m:t>
              </m:r>
            </m:e>
            <m:sub>
              <m:r>
                <m:rPr>
                  <m:sty m:val="p"/>
                </m:rPr>
                <m:t>I</m:t>
              </m:r>
              <m:r>
                <m:rPr>
                  <m:sty m:val="p"/>
                </m:rPr>
                <m:t>M</m:t>
              </m:r>
              <m:r>
                <m:rPr>
                  <m:sty m:val="p"/>
                </m:rPr>
                <m:t>3</m:t>
              </m:r>
            </m:sub>
          </m:sSub>
          <m:r>
            <m:rPr>
              <m:sty m:val="p"/>
            </m:rPr>
            <m:t>∈</m:t>
          </m:r>
          <m:r>
            <m:rPr>
              <m:sty m:val="p"/>
            </m:rPr>
            <m:t>{</m:t>
          </m:r>
          <m:r>
            <m:t>2</m:t>
          </m:r>
          <m:sSub>
            <m:e>
              <m:r>
                <m:t>f</m:t>
              </m:r>
            </m:e>
            <m:sub>
              <m:r>
                <m:t>i</m:t>
              </m:r>
            </m:sub>
          </m:sSub>
          <m:r>
            <m:rPr>
              <m:sty m:val="p"/>
            </m:rPr>
            <m:t>−</m:t>
          </m:r>
          <m:sSub>
            <m:e>
              <m:r>
                <m:t>f</m:t>
              </m:r>
            </m:e>
            <m:sub>
              <m:r>
                <m:t>j</m:t>
              </m:r>
            </m:sub>
          </m:sSub>
          <m:r>
            <m:rPr>
              <m:sty m:val="p"/>
            </m:rPr>
            <m:t>:</m:t>
          </m:r>
          <m:r>
            <m:t>i</m:t>
          </m:r>
          <m:r>
            <m:rPr>
              <m:sty m:val="p"/>
            </m:rPr>
            <m:t>≠</m:t>
          </m:r>
          <m:r>
            <m:t>j</m:t>
          </m:r>
          <m:r>
            <m:rPr>
              <m:sty m:val="p"/>
            </m:rPr>
            <m:t>}</m:t>
          </m:r>
          <m:r>
            <m:rPr>
              <m:sty m:val="p"/>
            </m:rPr>
            <m:t>∪</m:t>
          </m:r>
          <m:r>
            <m:rPr>
              <m:sty m:val="p"/>
            </m:rPr>
            <m:t>{</m:t>
          </m:r>
          <m:sSub>
            <m:e>
              <m:r>
                <m:t>f</m:t>
              </m:r>
            </m:e>
            <m:sub>
              <m:r>
                <m:t>i</m:t>
              </m:r>
            </m:sub>
          </m:sSub>
          <m:r>
            <m:rPr>
              <m:sty m:val="p"/>
            </m:rPr>
            <m:t>+</m:t>
          </m:r>
          <m:sSub>
            <m:e>
              <m:r>
                <m:t>f</m:t>
              </m:r>
            </m:e>
            <m:sub>
              <m:r>
                <m:t>j</m:t>
              </m:r>
            </m:sub>
          </m:sSub>
          <m:r>
            <m:rPr>
              <m:sty m:val="p"/>
            </m:rPr>
            <m:t>−</m:t>
          </m:r>
          <m:sSub>
            <m:e>
              <m:r>
                <m:t>f</m:t>
              </m:r>
            </m:e>
            <m:sub>
              <m:r>
                <m:t>k</m:t>
              </m:r>
            </m:sub>
          </m:sSub>
          <m:r>
            <m:rPr>
              <m:sty m:val="p"/>
            </m:rPr>
            <m:t>:</m:t>
          </m:r>
          <m:r>
            <m:t>i</m:t>
          </m:r>
          <m:r>
            <m:rPr>
              <m:sty m:val="p"/>
            </m:rPr>
            <m:t>,</m:t>
          </m:r>
          <m:r>
            <m:t>j</m:t>
          </m:r>
          <m:r>
            <m:rPr>
              <m:sty m:val="p"/>
            </m:rPr>
            <m:t>,</m:t>
          </m:r>
          <m:r>
            <m:t>k</m:t>
          </m:r>
          <m:r>
            <m:t> </m:t>
          </m:r>
          <m:r>
            <m:rPr>
              <m:sty m:val="p"/>
            </m:rPr>
            <m:t>p</m:t>
          </m:r>
          <m:r>
            <m:rPr>
              <m:sty m:val="p"/>
            </m:rPr>
            <m:t>a</m:t>
          </m:r>
          <m:r>
            <m:rPr>
              <m:sty m:val="p"/>
            </m:rPr>
            <m:t>i</m:t>
          </m:r>
          <m:r>
            <m:rPr>
              <m:sty m:val="p"/>
            </m:rPr>
            <m:t>r</m:t>
          </m:r>
          <m:r>
            <m:rPr>
              <m:sty m:val="p"/>
            </m:rPr>
            <m:t>w</m:t>
          </m:r>
          <m:r>
            <m:rPr>
              <m:sty m:val="p"/>
            </m:rPr>
            <m:t>i</m:t>
          </m:r>
          <m:r>
            <m:rPr>
              <m:sty m:val="p"/>
            </m:rPr>
            <m:t>s</m:t>
          </m:r>
          <m:r>
            <m:rPr>
              <m:sty m:val="p"/>
            </m:rPr>
            <m:t>e</m:t>
          </m:r>
          <m:r>
            <m:rPr>
              <m:sty m:val="p"/>
            </m:rPr>
            <m:t> </m:t>
          </m:r>
          <m:r>
            <m:rPr>
              <m:sty m:val="p"/>
            </m:rPr>
            <m:t>d</m:t>
          </m:r>
          <m:r>
            <m:rPr>
              <m:sty m:val="p"/>
            </m:rPr>
            <m:t>i</m:t>
          </m:r>
          <m:r>
            <m:rPr>
              <m:sty m:val="p"/>
            </m:rPr>
            <m:t>s</m:t>
          </m:r>
          <m:r>
            <m:rPr>
              <m:sty m:val="p"/>
            </m:rPr>
            <m:t>t</m:t>
          </m:r>
          <m:r>
            <m:rPr>
              <m:sty m:val="p"/>
            </m:rPr>
            <m:t>i</m:t>
          </m:r>
          <m:r>
            <m:rPr>
              <m:sty m:val="p"/>
            </m:rPr>
            <m:t>n</m:t>
          </m:r>
          <m:r>
            <m:rPr>
              <m:sty m:val="p"/>
            </m:rPr>
            <m:t>c</m:t>
          </m:r>
          <m:r>
            <m:rPr>
              <m:sty m:val="p"/>
            </m:rPr>
            <m:t>t</m:t>
          </m:r>
          <m:r>
            <m:rPr>
              <m:sty m:val="p"/>
            </m:rPr>
            <m:t>}</m:t>
          </m:r>
        </m:oMath>
      </m:oMathPara>
    </w:p>
    <w:p>
      <w:pPr>
        <w:pStyle w:val="FirstParagraph"/>
      </w:pPr>
      <w:r>
        <w:t>Far below saturation, third-order power grows by 3 dB for each decibel of drive while the carriers grow by 1 dB, so asymptotically the carrier-to-intermodulation ratio improves by 2 dB per dB of back-off [57], [60]:</w:t>
      </w:r>
    </w:p>
    <w:p>
      <w:pPr>
        <w:pStyle w:val="BodyText"/>
      </w:pPr>
      <m:oMathPara>
        <m:oMathParaPr>
          <m:jc m:val="center"/>
        </m:oMathParaPr>
        <m:oMath>
          <m:sSub>
            <m:e>
              <m:r>
                <m:t>P</m:t>
              </m:r>
            </m:e>
            <m:sub>
              <m:r>
                <m:rPr>
                  <m:sty m:val="p"/>
                </m:rPr>
                <m:t>I</m:t>
              </m:r>
              <m:r>
                <m:rPr>
                  <m:sty m:val="p"/>
                </m:rPr>
                <m:t>M</m:t>
              </m:r>
              <m:r>
                <m:rPr>
                  <m:sty m:val="p"/>
                </m:rPr>
                <m:t>3</m:t>
              </m:r>
              <m:r>
                <m:rPr>
                  <m:sty m:val="p"/>
                </m:rPr>
                <m:t>,</m:t>
              </m:r>
              <m:r>
                <m:rPr>
                  <m:sty m:val="p"/>
                </m:rPr>
                <m:t>d</m:t>
              </m:r>
              <m:r>
                <m:rPr>
                  <m:sty m:val="p"/>
                </m:rPr>
                <m:t>B</m:t>
              </m:r>
            </m:sub>
          </m:sSub>
          <m:r>
            <m:rPr>
              <m:sty m:val="p"/>
            </m:rPr>
            <m:t>≈</m:t>
          </m:r>
          <m:r>
            <m:t>3</m:t>
          </m:r>
          <m:sSub>
            <m:e>
              <m:r>
                <m:t>P</m:t>
              </m:r>
            </m:e>
            <m:sub>
              <m:r>
                <m:rPr>
                  <m:sty m:val="p"/>
                </m:rPr>
                <m:t>i</m:t>
              </m:r>
              <m:r>
                <m:rPr>
                  <m:sty m:val="p"/>
                </m:rPr>
                <m:t>n</m:t>
              </m:r>
              <m:r>
                <m:rPr>
                  <m:sty m:val="p"/>
                </m:rPr>
                <m:t>,</m:t>
              </m:r>
              <m:r>
                <m:rPr>
                  <m:sty m:val="p"/>
                </m:rPr>
                <m:t>d</m:t>
              </m:r>
              <m:r>
                <m:rPr>
                  <m:sty m:val="p"/>
                </m:rPr>
                <m:t>B</m:t>
              </m:r>
            </m:sub>
          </m:sSub>
          <m:r>
            <m:rPr>
              <m:sty m:val="p"/>
            </m:rPr>
            <m:t>+</m:t>
          </m:r>
          <m:r>
            <m:t>c</m:t>
          </m:r>
          <m:r>
            <m:t> </m:t>
          </m:r>
          <m:r>
            <m:rPr>
              <m:sty m:val="p"/>
            </m:rPr>
            <m:t>⇒</m:t>
          </m:r>
          <m:r>
            <m:t> </m:t>
          </m:r>
          <m:f>
            <m:fPr>
              <m:type m:val="bar"/>
            </m:fPr>
            <m:num>
              <m:r>
                <m:rPr>
                  <m:sty m:val="p"/>
                </m:rPr>
                <m:t>∂</m:t>
              </m:r>
              <m:r>
                <m:t> </m:t>
              </m:r>
              <m:d>
                <m:dPr>
                  <m:begChr m:val="("/>
                  <m:endChr m:val=")"/>
                  <m:sepChr m:val=""/>
                  <m:grow/>
                </m:dPr>
                <m:e>
                  <m:r>
                    <m:t>C</m:t>
                  </m:r>
                  <m:r>
                    <m:rPr>
                      <m:sty m:val="p"/>
                    </m:rPr>
                    <m:t>/</m:t>
                  </m:r>
                  <m:sSub>
                    <m:e>
                      <m:r>
                        <m:rPr>
                          <m:sty m:val="p"/>
                        </m:rPr>
                        <m:t>I</m:t>
                      </m:r>
                      <m:r>
                        <m:rPr>
                          <m:sty m:val="p"/>
                        </m:rPr>
                        <m:t>M</m:t>
                      </m:r>
                    </m:e>
                    <m:sub>
                      <m:r>
                        <m:t>3</m:t>
                      </m:r>
                    </m:sub>
                  </m:sSub>
                </m:e>
              </m:d>
            </m:num>
            <m:den>
              <m:r>
                <m:rPr>
                  <m:sty m:val="p"/>
                </m:rPr>
                <m:t>∂</m:t>
              </m:r>
              <m:r>
                <m:t> </m:t>
              </m:r>
              <m:r>
                <m:rPr>
                  <m:sty m:val="p"/>
                </m:rPr>
                <m:t>I</m:t>
              </m:r>
              <m:r>
                <m:rPr>
                  <m:sty m:val="p"/>
                </m:rPr>
                <m:t>B</m:t>
              </m:r>
              <m:r>
                <m:rPr>
                  <m:sty m:val="p"/>
                </m:rPr>
                <m:t>O</m:t>
              </m:r>
            </m:den>
          </m:f>
          <m:r>
            <m:rPr>
              <m:sty m:val="p"/>
            </m:rPr>
            <m:t>≈</m:t>
          </m:r>
          <m:r>
            <m:t>2</m:t>
          </m:r>
          <m:r>
            <m:t> </m:t>
          </m:r>
          <m:r>
            <m:rPr>
              <m:sty m:val="p"/>
            </m:rPr>
            <m:t>d</m:t>
          </m:r>
          <m:r>
            <m:rPr>
              <m:sty m:val="p"/>
            </m:rPr>
            <m:t>B</m:t>
          </m:r>
          <m:r>
            <m:rPr>
              <m:sty m:val="p"/>
            </m:rPr>
            <m:t>/</m:t>
          </m:r>
          <m:r>
            <m:rPr>
              <m:sty m:val="p"/>
            </m:rPr>
            <m:t>d</m:t>
          </m:r>
          <m:r>
            <m:rPr>
              <m:sty m:val="p"/>
            </m:rPr>
            <m:t>B</m:t>
          </m:r>
        </m:oMath>
      </m:oMathPara>
    </w:p>
    <w:p>
      <w:pPr>
        <w:pStyle w:val="FirstParagraph"/>
      </w:pPr>
      <w:r>
        <w:t xml:space="preserve">The approximate 2 dB/dB law is a weakly nonlinear, fixed-loading result, not a guaranteed slope near saturation. With modulated carriers, third-order mixing produces occupied bands and cross-modulation as well as discrete-tone products. Model-specific slope and suppression values depend on carrier plan, filters, normalization and PSD settings; they should be quoted only from reproducible runs of the project generator with recorded code, seeds and settings. Plan-consistent product locations and response to drive are diagnostic evidence, but external uplink interferers can coincide with those locations and also interact with the nonlinear payload.</w:t>
      </w:r>
    </w:p>
    <w:p>
      <w:pPr>
        <w:pStyle w:val="BodyText"/>
      </w:pPr>
      <w:r>
        <w:t>The satellite literature treats this chain as an impairment to compensate, not as context for recognition. Volterra equalization of multicarrier intermodulation [57], learned impairment compensation over TWTA and phase-noise models [61] and predistortion [56] all model the transponder carefully, but toward a different goal. The detection studies considered in Section 3 do not establish the same controlled multicarrier payload comparison. The omission has been noted in passing: a recent anti-jamming study observes that existing methods lack modeling of the distortion caused by transponder nonlinearity [62], though its own focus is suppression rather than recognition.</w:t>
      </w:r>
    </w:p>
    <w:p>
      <w:pPr>
        <w:pStyle w:val="BodyText"/>
      </w:pPr>
      <w:r>
        <w:t>Measured amplifier data is harder to obtain than models. OpenDPD [63], [64] provides measured input–output data from a wideband power amplifier together with a PyTorch framework for behavioral modeling. It is a solid-state device, not a TWTA, so it cannot serve as ground truth for a GEO payload. It is useful instead as a source of model mismatch: a recognizer trained on Saleh-model data can be tested against a different, measured nonlinearity. Work on transmitter identification has shown that randomized amplifier nonlinearity models can be generated at scale for deep learning [65], which supports randomizing payload parameters during data generation rather than fixing a single transponder.</w:t>
      </w:r>
    </w:p>
    <w:bookmarkStart w:id="24" w:name="memory-and-model-limitations"/>
    <w:p>
      <w:pPr>
        <w:pStyle w:val="Heading3"/>
      </w:pPr>
      <w:r>
        <w:t xml:space="preserve">4.1 Memory and model limitations</w:t>
      </w:r>
    </w:p>
    <w:p>
      <w:pPr>
        <w:pStyle w:val="FirstParagraph"/>
      </w:pPr>
      <w:r>
        <w:t>The displayed Saleh AM/AM–AM/PM equations describe an instantaneous envelope nonlinearity. They must not stand for every model in Saleh’s 1981 paper [54], whose scope also includes frequency-dependent models. IMUX/OMUX filtering already gives the cascade memory, but it does not establish that the amplifier’s own frequency dependence or nonlinear memory is represented. Static digitized TWTA curves share this limitation. Memory-polynomial or measured dynamic-PA mismatch tests probe sensitivity to the assumption; they do not validate a specific flight TWTA. Single-tone reference curves also leave multicarrier peaks outside the digitized range dependent on the implementation’s extrapolation rule. A source-resolved full-text analysis of [54] remains open; no uninspected frequency-dependent formula is imported here.</w:t>
      </w:r>
    </w:p>
    <w:bookmarkEnd w:id="24"/>
    <w:bookmarkEnd w:id="25"/>
    <w:bookmarkStart w:id="26" w:name="X5085255b69e5c7c894f94fb8b7f91ce4f8fe8d5"/>
    <w:p>
      <w:pPr>
        <w:pStyle w:val="Heading2"/>
      </w:pPr>
      <w:r>
        <w:t xml:space="preserve">5. Interference mechanisms and identifiability</w:t>
      </w:r>
    </w:p>
    <w:p>
      <w:pPr>
        <w:pStyle w:val="FirstParagraph"/>
      </w:pPr>
      <w:r>
        <w:t xml:space="preserve">The interference classes in this project are not equally easy to tell apart, and the literature suggests that some cannot be separated from a single-polarization power spectrum at all. The main confusable groups are considered in turn, since they determine which observables the recognizer needs.</w:t>
      </w:r>
    </w:p>
    <w:p>
      <w:pPr>
        <w:pStyle w:val="BodyText"/>
      </w:pPr>
      <w:r>
        <w:t>Trade accounts list cross-polarization leakage among the common causes of GEO interference [2]; no incidence rate is asserted here. It arises when an earth-station feed is misaligned [2], when rain or ice depolarization reduces the cross-polar discrimination (XPD) [66], or when antenna XPD is insufficient for a dual-polarized system [67]. In a co-polar spectrum, leaked energy looks like any other unexpected carrier. Observing the opposite polarization supplies a useful reference for testing whether unexpected energy is consistent with leakage. This does not guarantee unique attribution, and other evidence, such as terminal measurements or polarization adjustments, can also support diagnosis. The guidelines include an aggregate cross-polar C/I model [105, §4.4.1.3, Table 4, printed p. 33]: approximately 24 dB for their Ku-band linear-polarization scenario, and 17 dB in deep fading or 24 dB in light fading for their Ka-band circular-polarization scenario. These are near-worst-case European examples under equal transmitted powers, not universal band thresholds. Carrier-resolved leakage requires an explicit coupling model in addition to these aggregate examples [66], [67].</w:t>
      </w:r>
    </w:p>
    <w:p>
      <w:pPr>
        <w:pStyle w:val="BodyText"/>
      </w:pPr>
      <w:r>
        <w:t>XPIC is a relevant classical comparison: Zhao et al. [68] discuss LMS, decision-directed LMS and CMA cancellation for satellite polarization interference. Cancellation seeks signal recovery, while this project seeks mechanism recognition. A linear adaptive XPIC residual can nevertheless provide an interpretable Stage B detection baseline when synchronized dual-polarization IQ is available. It is a proposed comparison here, with no imported performance claim.</w:t>
      </w:r>
    </w:p>
    <w:p>
      <w:pPr>
        <w:pStyle w:val="BodyText"/>
      </w:pPr>
      <w:r>
        <w:t xml:space="preserve">Cross-polar leakage enters at two points. Uplink leakage from a misaligned earth-station antenna adds a copy of the opposite-polarization signal before the IMUX, so it passes through the co-polar transponder. Downlink depolarization and the monitoring antenna’s XPD couple the transponder outputs. With complex coupling coefficients κ_u and κ_d that generally differ,</w:t>
      </w:r>
    </w:p>
    <w:p>
      <w:pPr>
        <w:pStyle w:val="BodyText"/>
      </w:pPr>
      <m:oMathPara>
        <m:oMathParaPr>
          <m:jc m:val="center"/>
        </m:oMathParaPr>
        <m:oMath>
          <m:r>
            <m:t>x</m:t>
          </m:r>
          <m:sSub>
            <m:e>
              <m:r>
                <m:rPr>
                  <m:sty m:val="p"/>
                </m:rPr>
                <m:t>′</m:t>
              </m:r>
            </m:e>
            <m:sub>
              <m:r>
                <m:rPr>
                  <m:sty m:val="p"/>
                </m:rPr>
                <m:t>c</m:t>
              </m:r>
              <m:r>
                <m:rPr>
                  <m:sty m:val="p"/>
                </m:rPr>
                <m:t>o</m:t>
              </m:r>
            </m:sub>
          </m:sSub>
          <m:d>
            <m:dPr>
              <m:begChr m:val="("/>
              <m:endChr m:val=")"/>
              <m:sepChr m:val=""/>
              <m:grow/>
            </m:dPr>
            <m:e>
              <m:r>
                <m:t>t</m:t>
              </m:r>
            </m:e>
          </m:d>
          <m:r>
            <m:rPr>
              <m:sty m:val="p"/>
            </m:rPr>
            <m:t>=</m:t>
          </m:r>
          <m:sSub>
            <m:e>
              <m:r>
                <m:t>x</m:t>
              </m:r>
            </m:e>
            <m:sub>
              <m:r>
                <m:rPr>
                  <m:sty m:val="p"/>
                </m:rPr>
                <m:t>c</m:t>
              </m:r>
              <m:r>
                <m:rPr>
                  <m:sty m:val="p"/>
                </m:rPr>
                <m:t>o</m:t>
              </m:r>
            </m:sub>
          </m:sSub>
          <m:d>
            <m:dPr>
              <m:begChr m:val="("/>
              <m:endChr m:val=")"/>
              <m:sepChr m:val=""/>
              <m:grow/>
            </m:dPr>
            <m:e>
              <m:r>
                <m:t>t</m:t>
              </m:r>
            </m:e>
          </m:d>
          <m:r>
            <m:rPr>
              <m:sty m:val="p"/>
            </m:rPr>
            <m:t>+</m:t>
          </m:r>
          <m:sSub>
            <m:e>
              <m:r>
                <m:t>κ</m:t>
              </m:r>
            </m:e>
            <m:sub>
              <m:r>
                <m:t>u</m:t>
              </m:r>
            </m:sub>
          </m:sSub>
          <m:r>
            <m:t> </m:t>
          </m:r>
          <m:sSub>
            <m:e>
              <m:r>
                <m:t>x</m:t>
              </m:r>
            </m:e>
            <m:sub>
              <m:r>
                <m:rPr>
                  <m:sty m:val="p"/>
                </m:rPr>
                <m:t>x</m:t>
              </m:r>
            </m:sub>
          </m:sSub>
          <m:d>
            <m:dPr>
              <m:begChr m:val="("/>
              <m:endChr m:val=")"/>
              <m:sepChr m:val=""/>
              <m:grow/>
            </m:dPr>
            <m:e>
              <m:r>
                <m:t>t</m:t>
              </m:r>
            </m:e>
          </m:d>
          <m:r>
            <m:rPr>
              <m:sty m:val="p"/>
            </m:rPr>
            <m:t>,</m:t>
          </m:r>
          <m:r>
            <m:t>  </m:t>
          </m:r>
          <m:sSub>
            <m:e>
              <m:r>
                <m:t>y</m:t>
              </m:r>
            </m:e>
            <m:sub>
              <m:r>
                <m:rPr>
                  <m:sty m:val="p"/>
                </m:rPr>
                <m:t>c</m:t>
              </m:r>
              <m:r>
                <m:rPr>
                  <m:sty m:val="p"/>
                </m:rPr>
                <m:t>o</m:t>
              </m:r>
            </m:sub>
          </m:sSub>
          <m:d>
            <m:dPr>
              <m:begChr m:val="("/>
              <m:endChr m:val=")"/>
              <m:sepChr m:val=""/>
              <m:grow/>
            </m:dPr>
            <m:e>
              <m:r>
                <m:t>t</m:t>
              </m:r>
            </m:e>
          </m:d>
          <m:r>
            <m:rPr>
              <m:sty m:val="p"/>
            </m:rPr>
            <m:t>=</m:t>
          </m:r>
          <m:sSub>
            <m:e>
              <m:r>
                <m:t>z</m:t>
              </m:r>
            </m:e>
            <m:sub>
              <m:r>
                <m:rPr>
                  <m:sty m:val="p"/>
                </m:rPr>
                <m:t>c</m:t>
              </m:r>
              <m:r>
                <m:rPr>
                  <m:sty m:val="p"/>
                </m:rPr>
                <m:t>o</m:t>
              </m:r>
            </m:sub>
          </m:sSub>
          <m:d>
            <m:dPr>
              <m:begChr m:val="("/>
              <m:endChr m:val=")"/>
              <m:sepChr m:val=""/>
              <m:grow/>
            </m:dPr>
            <m:e>
              <m:r>
                <m:t>t</m:t>
              </m:r>
            </m:e>
          </m:d>
          <m:r>
            <m:rPr>
              <m:sty m:val="p"/>
            </m:rPr>
            <m:t>+</m:t>
          </m:r>
          <m:sSub>
            <m:e>
              <m:r>
                <m:t>κ</m:t>
              </m:r>
            </m:e>
            <m:sub>
              <m:r>
                <m:t>d</m:t>
              </m:r>
            </m:sub>
          </m:sSub>
          <m:r>
            <m:t> </m:t>
          </m:r>
          <m:sSub>
            <m:e>
              <m:r>
                <m:t>z</m:t>
              </m:r>
            </m:e>
            <m:sub>
              <m:r>
                <m:rPr>
                  <m:sty m:val="p"/>
                </m:rPr>
                <m:t>x</m:t>
              </m:r>
            </m:sub>
          </m:sSub>
          <m:d>
            <m:dPr>
              <m:begChr m:val="("/>
              <m:endChr m:val=")"/>
              <m:sepChr m:val=""/>
              <m:grow/>
            </m:dPr>
            <m:e>
              <m:r>
                <m:t>t</m:t>
              </m:r>
            </m:e>
          </m:d>
          <m:r>
            <m:rPr>
              <m:sty m:val="p"/>
            </m:rPr>
            <m:t>+</m:t>
          </m:r>
          <m:sSub>
            <m:e>
              <m:r>
                <m:t>n</m:t>
              </m:r>
            </m:e>
            <m:sub>
              <m:r>
                <m:rPr>
                  <m:sty m:val="p"/>
                </m:rPr>
                <m:t>c</m:t>
              </m:r>
              <m:r>
                <m:rPr>
                  <m:sty m:val="p"/>
                </m:rPr>
                <m:t>o</m:t>
              </m:r>
            </m:sub>
          </m:sSub>
          <m:d>
            <m:dPr>
              <m:begChr m:val="("/>
              <m:endChr m:val=")"/>
              <m:sepChr m:val=""/>
              <m:grow/>
            </m:dPr>
            <m:e>
              <m:r>
                <m:t>t</m:t>
              </m:r>
            </m:e>
          </m:d>
          <m:r>
            <m:rPr>
              <m:sty m:val="p"/>
            </m:rPr>
            <m:t>,</m:t>
          </m:r>
          <m:r>
            <m:t>  </m:t>
          </m:r>
          <m:r>
            <m:rPr>
              <m:sty m:val="p"/>
            </m:rPr>
            <m:t>X</m:t>
          </m:r>
          <m:r>
            <m:rPr>
              <m:sty m:val="p"/>
            </m:rPr>
            <m:t>P</m:t>
          </m:r>
          <m:r>
            <m:rPr>
              <m:sty m:val="p"/>
            </m:rPr>
            <m:t>D</m:t>
          </m:r>
          <m:r>
            <m:rPr>
              <m:sty m:val="p"/>
            </m:rPr>
            <m:t>=</m:t>
          </m:r>
          <m:r>
            <m:rPr>
              <m:sty m:val="p"/>
            </m:rPr>
            <m:t>−</m:t>
          </m:r>
          <m:r>
            <m:t>20</m:t>
          </m:r>
          <m:sSub>
            <m:e>
              <m:r>
                <m:rPr>
                  <m:sty m:val="p"/>
                </m:rPr>
                <m:t>log</m:t>
              </m:r>
            </m:e>
            <m:sub>
              <m:r>
                <m:t>10</m:t>
              </m:r>
            </m:sub>
          </m:sSub>
          <m:d>
            <m:dPr>
              <m:begChr m:val="|"/>
              <m:endChr m:val="|"/>
              <m:sepChr m:val=""/>
              <m:grow/>
            </m:dPr>
            <m:e>
              <m:r>
                <m:t>κ</m:t>
              </m:r>
            </m:e>
          </m:d>
          <m:r>
            <m:t> </m:t>
          </m:r>
          <m:r>
            <m:rPr>
              <m:sty m:val="p"/>
            </m:rPr>
            <m:t>d</m:t>
          </m:r>
          <m:r>
            <m:rPr>
              <m:sty m:val="p"/>
            </m:rPr>
            <m:t>B</m:t>
          </m:r>
        </m:oMath>
      </m:oMathPara>
    </w:p>
    <w:p>
      <w:pPr>
        <w:pStyle w:val="FirstParagraph"/>
      </w:pPr>
      <w:r>
        <w:t xml:space="preserve">with an analogous equation for the cross-polar channel, using separately specified reverse-direction coefficients rather than assuming symmetric coupling, where z_co and z_x are the transponder outputs of Section 4 and x’_co is the co-polar transponder’s input. Downlink leakage is a scaled copy of z_x and can be tested by correlating y_co with y_x. Uplink leakage appears in y_co as a nonlinearly distorted, possibly differently filtered copy of a carrier that is also visible in y_x, so the same test is only approximate. These cross-channel tests require synchronized, frequency-aligned observations and adequate reference-channel SNR. The scalar coupling model approximates matched polarization paths over the band; per-carrier uplink alignment and frequency-dependent coupling require a richer model. Even with both observations, simultaneous uplink and downlink leakage need not be uniquely separable.</w:t>
      </w:r>
    </w:p>
    <w:p>
      <w:pPr>
        <w:pStyle w:val="BodyText"/>
      </w:pPr>
      <w:r>
        <w:t>Unplanned carriers form a second group. An unauthorized carrier, a carrier at the wrong frequency and adjacent-satellite interference all add energy outside the expected occupancy, and their spectra can be nearly identical. What separates them is whether the energy is consistent with the operator’s carrier plan, and where it originates. CID answers the second question when the transmitter cooperates [13], [14]. Without CID or interference geolocation [69], adjacent-satellite and unauthorized carriers may be inseparable from the downlink alone, and a recognizer should report that confusion rather than hide it.</w:t>
      </w:r>
    </w:p>
    <w:p>
      <w:pPr>
        <w:pStyle w:val="BodyText"/>
      </w:pPr>
      <w:r>
        <w:t>Carrier-under-carrier interference is the clearest identifiability limit. In paired carrier multiple access (PCMA), two carriers deliberately share one band, and blind detection of the weaker one is a known hard problem [70]; information-theoretic analysis bounds what blind detection can achieve [71]. Unintended carrier-under-carrier events inherit this difficulty, which is why commercial tools cancel the host carrier before looking for a residual [15], [16], [17]. At realistic carrier-to-interference ratios the composite power spectrum is essentially that of the host. Features that respond to a second symbol rate, such as the cyclic spectrum [11], [46], are the natural candidates for making this class observable.</w:t>
      </w:r>
    </w:p>
    <w:p>
      <w:pPr>
        <w:pStyle w:val="BodyText"/>
      </w:pPr>
      <w:r>
        <w:t xml:space="preserve">The difficulty is visible in second-order statistics. With a host carrier s_h, an under-carrier s_u at power ratio ρ = 10^(−(C/I)dB/10) and independent stationary noise,</w:t>
      </w:r>
    </w:p>
    <w:p>
      <w:pPr>
        <w:pStyle w:val="BodyText"/>
      </w:pPr>
      <m:oMathPara>
        <m:oMathParaPr>
          <m:jc m:val="center"/>
        </m:oMathParaPr>
        <m:oMath>
          <m:r>
            <m:t>y</m:t>
          </m:r>
          <m:d>
            <m:dPr>
              <m:begChr m:val="("/>
              <m:endChr m:val=")"/>
              <m:sepChr m:val=""/>
              <m:grow/>
            </m:dPr>
            <m:e>
              <m:r>
                <m:t>t</m:t>
              </m:r>
            </m:e>
          </m:d>
          <m:r>
            <m:rPr>
              <m:sty m:val="p"/>
            </m:rPr>
            <m:t>=</m:t>
          </m:r>
          <m:sSub>
            <m:e>
              <m:r>
                <m:t>s</m:t>
              </m:r>
            </m:e>
            <m:sub>
              <m:r>
                <m:t>h</m:t>
              </m:r>
            </m:sub>
          </m:sSub>
          <m:d>
            <m:dPr>
              <m:begChr m:val="("/>
              <m:endChr m:val=")"/>
              <m:sepChr m:val=""/>
              <m:grow/>
            </m:dPr>
            <m:e>
              <m:r>
                <m:t>t</m:t>
              </m:r>
            </m:e>
          </m:d>
          <m:r>
            <m:rPr>
              <m:sty m:val="p"/>
            </m:rPr>
            <m:t>+</m:t>
          </m:r>
          <m:rad>
            <m:radPr>
              <m:degHide m:val="on"/>
            </m:radPr>
            <m:deg/>
            <m:e>
              <m:r>
                <m:t>ρ</m:t>
              </m:r>
            </m:e>
          </m:rad>
          <m:r>
            <m:t> </m:t>
          </m:r>
          <m:sSub>
            <m:e>
              <m:r>
                <m:t>s</m:t>
              </m:r>
            </m:e>
            <m:sub>
              <m:r>
                <m:t>u</m:t>
              </m:r>
            </m:sub>
          </m:sSub>
          <m:d>
            <m:dPr>
              <m:begChr m:val="("/>
              <m:endChr m:val=")"/>
              <m:sepChr m:val=""/>
              <m:grow/>
            </m:dPr>
            <m:e>
              <m:r>
                <m:t>t</m:t>
              </m:r>
            </m:e>
          </m:d>
          <m:r>
            <m:rPr>
              <m:sty m:val="p"/>
            </m:rPr>
            <m:t>+</m:t>
          </m:r>
          <m:r>
            <m:t>n</m:t>
          </m:r>
          <m:d>
            <m:dPr>
              <m:begChr m:val="("/>
              <m:endChr m:val=")"/>
              <m:sepChr m:val=""/>
              <m:grow/>
            </m:dPr>
            <m:e>
              <m:r>
                <m:t>t</m:t>
              </m:r>
            </m:e>
          </m:d>
          <m:r>
            <m:t> </m:t>
          </m:r>
          <m:r>
            <m:rPr>
              <m:sty m:val="p"/>
            </m:rPr>
            <m:t>⇒</m:t>
          </m:r>
          <m:r>
            <m:t> </m:t>
          </m:r>
          <m:sSub>
            <m:e>
              <m:r>
                <m:t>S</m:t>
              </m:r>
            </m:e>
            <m:sub>
              <m:r>
                <m:t>y</m:t>
              </m:r>
            </m:sub>
          </m:sSub>
          <m:d>
            <m:dPr>
              <m:begChr m:val="("/>
              <m:endChr m:val=")"/>
              <m:sepChr m:val=""/>
              <m:grow/>
            </m:dPr>
            <m:e>
              <m:r>
                <m:t>f</m:t>
              </m:r>
            </m:e>
          </m:d>
          <m:r>
            <m:rPr>
              <m:sty m:val="p"/>
            </m:rPr>
            <m:t>=</m:t>
          </m:r>
          <m:sSub>
            <m:e>
              <m:r>
                <m:t>S</m:t>
              </m:r>
            </m:e>
            <m:sub>
              <m:r>
                <m:t>h</m:t>
              </m:r>
            </m:sub>
          </m:sSub>
          <m:d>
            <m:dPr>
              <m:begChr m:val="("/>
              <m:endChr m:val=")"/>
              <m:sepChr m:val=""/>
              <m:grow/>
            </m:dPr>
            <m:e>
              <m:r>
                <m:t>f</m:t>
              </m:r>
            </m:e>
          </m:d>
          <m:r>
            <m:rPr>
              <m:sty m:val="p"/>
            </m:rPr>
            <m:t>+</m:t>
          </m:r>
          <m:r>
            <m:t>ρ</m:t>
          </m:r>
          <m:r>
            <m:t> </m:t>
          </m:r>
          <m:sSub>
            <m:e>
              <m:r>
                <m:t>S</m:t>
              </m:r>
            </m:e>
            <m:sub>
              <m:r>
                <m:t>u</m:t>
              </m:r>
            </m:sub>
          </m:sSub>
          <m:d>
            <m:dPr>
              <m:begChr m:val="("/>
              <m:endChr m:val=")"/>
              <m:sepChr m:val=""/>
              <m:grow/>
            </m:dPr>
            <m:e>
              <m:r>
                <m:t>f</m:t>
              </m:r>
            </m:e>
          </m:d>
          <m:r>
            <m:rPr>
              <m:sty m:val="p"/>
            </m:rPr>
            <m:t>+</m:t>
          </m:r>
          <m:sSub>
            <m:e>
              <m:r>
                <m:t>N</m:t>
              </m:r>
            </m:e>
            <m:sub>
              <m:r>
                <m:t>0</m:t>
              </m:r>
            </m:sub>
          </m:sSub>
        </m:oMath>
      </m:oMathPara>
    </w:p>
    <w:p>
      <w:pPr>
        <w:pStyle w:val="FirstParagraph"/>
      </w:pPr>
      <w:r>
        <w:t xml:space="preserve">For uncorrelated carriers with identical spectral shapes, a 20 dB C/I raises the host-plus-interferer PSD by 10 log₁₀(1 + 0.01) ≈ 0.043 dB relative to the host alone. Equal bandwidth alone does not provide this pointwise bound: different spectral shapes can produce larger changes in particular bins. Added noise reduces the relative change. This additive model is an illustration before nonlinear distortion, or for signals combined after the payload; an uplink under-carrier must instead pass through the composite nonlinear chain. Weak-carrier suppression depends on loading and operating point. The spectral correlation function</w:t>
      </w:r>
    </w:p>
    <w:p>
      <w:pPr>
        <w:pStyle w:val="BodyText"/>
      </w:pPr>
      <m:oMathPara>
        <m:oMathParaPr>
          <m:jc m:val="center"/>
        </m:oMathParaPr>
        <m:oMath>
          <m:sSubSup>
            <m:e>
              <m:r>
                <m:t>S</m:t>
              </m:r>
            </m:e>
            <m:sub>
              <m:r>
                <m:t>y</m:t>
              </m:r>
            </m:sub>
            <m:sup>
              <m:r>
                <m:t>α</m:t>
              </m:r>
            </m:sup>
          </m:sSubSup>
          <m:d>
            <m:dPr>
              <m:begChr m:val="("/>
              <m:endChr m:val=")"/>
              <m:sepChr m:val=""/>
              <m:grow/>
            </m:dPr>
            <m:e>
              <m:r>
                <m:t>f</m:t>
              </m:r>
            </m:e>
          </m:d>
          <m:r>
            <m:rPr>
              <m:sty m:val="p"/>
            </m:rPr>
            <m:t>=</m:t>
          </m:r>
          <m:limLow>
            <m:e>
              <m:r>
                <m:rPr>
                  <m:sty m:val="p"/>
                </m:rPr>
                <m:t>lim</m:t>
              </m:r>
            </m:e>
            <m:lim>
              <m:r>
                <m:t>T</m:t>
              </m:r>
              <m:r>
                <m:rPr>
                  <m:sty m:val="p"/>
                </m:rPr>
                <m:t>→</m:t>
              </m:r>
              <m:r>
                <m:rPr>
                  <m:sty m:val="p"/>
                </m:rPr>
                <m:t>∞</m:t>
              </m:r>
            </m:lim>
          </m:limLow>
          <m:f>
            <m:fPr>
              <m:type m:val="bar"/>
            </m:fPr>
            <m:num>
              <m:r>
                <m:t>1</m:t>
              </m:r>
            </m:num>
            <m:den>
              <m:r>
                <m:t>T</m:t>
              </m:r>
            </m:den>
          </m:f>
          <m:r>
            <m:t> </m:t>
          </m:r>
          <m:r>
            <m:rPr>
              <m:sty m:val="p"/>
              <m:scr m:val="double-struck"/>
            </m:rPr>
            <m:t>E</m:t>
          </m:r>
          <m:d>
            <m:dPr>
              <m:begChr m:val="["/>
              <m:endChr m:val="]"/>
              <m:sepChr m:val=""/>
              <m:grow/>
            </m:dPr>
            <m:e>
              <m:sSub>
                <m:e>
                  <m:r>
                    <m:t>Y</m:t>
                  </m:r>
                </m:e>
                <m:sub>
                  <m:r>
                    <m:t>T</m:t>
                  </m:r>
                </m:sub>
              </m:sSub>
              <m:r>
                <m:t>​</m:t>
              </m:r>
              <m:d>
                <m:dPr>
                  <m:begChr m:val="("/>
                  <m:endChr m:val=")"/>
                  <m:sepChr m:val=""/>
                  <m:grow/>
                </m:dPr>
                <m:e>
                  <m:r>
                    <m:t>f</m:t>
                  </m:r>
                  <m:r>
                    <m:rPr>
                      <m:sty m:val="p"/>
                    </m:rPr>
                    <m:t>+</m:t>
                  </m:r>
                  <m:f>
                    <m:fPr>
                      <m:type m:val="lin"/>
                    </m:fPr>
                    <m:num>
                      <m:r>
                        <m:t>α</m:t>
                      </m:r>
                    </m:num>
                    <m:den>
                      <m:r>
                        <m:t>2</m:t>
                      </m:r>
                    </m:den>
                  </m:f>
                </m:e>
              </m:d>
              <m:sSubSup>
                <m:e>
                  <m:r>
                    <m:t>Y</m:t>
                  </m:r>
                </m:e>
                <m:sub>
                  <m:r>
                    <m:t>T</m:t>
                  </m:r>
                </m:sub>
                <m:sup>
                  <m:r>
                    <m:rPr>
                      <m:sty m:val="p"/>
                    </m:rPr>
                    <m:t>*</m:t>
                  </m:r>
                </m:sup>
              </m:sSubSup>
              <m:r>
                <m:t>​</m:t>
              </m:r>
              <m:d>
                <m:dPr>
                  <m:begChr m:val="("/>
                  <m:endChr m:val=")"/>
                  <m:sepChr m:val=""/>
                  <m:grow/>
                </m:dPr>
                <m:e>
                  <m:r>
                    <m:t>f</m:t>
                  </m:r>
                  <m:r>
                    <m:rPr>
                      <m:sty m:val="p"/>
                    </m:rPr>
                    <m:t>−</m:t>
                  </m:r>
                  <m:f>
                    <m:fPr>
                      <m:type m:val="lin"/>
                    </m:fPr>
                    <m:num>
                      <m:r>
                        <m:t>α</m:t>
                      </m:r>
                    </m:num>
                    <m:den>
                      <m:r>
                        <m:t>2</m:t>
                      </m:r>
                    </m:den>
                  </m:f>
                </m:e>
              </m:d>
            </m:e>
          </m:d>
        </m:oMath>
      </m:oMathPara>
    </w:p>
    <w:p>
      <w:pPr>
        <w:pStyle w:val="FirstParagraph"/>
      </w:pPr>
      <w:r>
        <w:t xml:space="preserve">Under the ideal model of independent, zero-mean symbols shaped by an RRC pulse with 0 &lt; roll-off &lt; 1, the ordinary nonconjugate second-order SCF has nonzero symbol-clock components at α = ±1/T_s within its support [11]. This is a model-specific statement: pilots, framing, coding, conjugate cyclic statistics and nonlinearity may introduce additional structure. Stationary noise has zero expected SCF at nonzero cycle frequencies, but finite-record estimates retain noise and host-related variance.</w:t>
      </w:r>
    </w:p>
    <w:p>
      <w:pPr>
        <w:pStyle w:val="BodyText"/>
      </w:pPr>
      <w:r>
        <w:t>If an under-carrier has a cycle frequency outside the host’s cyclic support, the ideal additive expectation there contains its contribution and not the host’s. Different symbol periods alone are insufficient to guarantee that condition for a structured DVB waveform. As interference power decreases, longer observations are generally needed; a universal observation-length law proportional to (C/I)^2 is not claimed without an estimator-specific derivation. Identical symbol rates can make the cyclic signatures overlap. Frequency offsets, higher-order structure, blind PCMA methods [70] or decoded-host cancellation [3], [15] may then provide complementary evidence. Cyclic features are therefore a candidate input, not a necessary or sufficient condition for all carrier-under-carrier detection.</w:t>
      </w:r>
    </w:p>
    <w:p>
      <w:pPr>
        <w:pStyle w:val="BodyText"/>
      </w:pPr>
      <w:r>
        <w:t>Finally, payload intermodulation must be separated from external interference. Here the transponder physics helps: intermodulation products fall at frequencies set by the carrier plan and change with input back-off in a predictable way [57], [60], whereas external interferers are not constrained to originate from that mixing process. Frequency coincidences and payload-induced changes to uplink interferers remain possible. A recognizer that knows the carrier plan can check whether energy falls at the predicted IM frequencies; one that sees a single unannotated spectrum cannot. Behaviour across drive levels can strengthen the diagnosis, but a monitoring station rarely controls or knows the uplink drive, so the plan is the practical observable. The interaction of IMUX/OMUX filtering with the amplifier [58] complicates this, since the observed signature depends on the filters as well as the amplifier.</w:t>
      </w:r>
    </w:p>
    <w:p>
      <w:pPr>
        <w:pStyle w:val="BodyText"/>
      </w:pPr>
      <w:r>
        <w:t>Within the reviewed set, we did not identify a formal observability analysis covering this complete GEO monitoring configuration; the closest formal treatment is the information-theoretic study of blind PCMA detection [71]. Mapping each class to the observables it requires — co-polar spectrum, cross-polar spectrum, carrier plan, response to back-off, cyclic features — is therefore open, and contribution C2 addresses it directly.</w:t>
      </w:r>
    </w:p>
    <w:p>
      <w:pPr>
        <w:pStyle w:val="BodyText"/>
      </w:pPr>
      <w:r>
        <w:t xml:space="preserve">Table 1 states this argument as a working hypothesis. The proposed Stage B ablations in Section 7.2 test the cross-polar, plan-mask, cyclic and temporal columns; the temporal column is tested by comparing the ordered time axis with a time-averaged spectrum.</w:t>
      </w:r>
    </w:p>
    <w:p>
      <w:pPr>
        <w:pStyle w:val="BodyText"/>
      </w:pPr>
      <w:r>
        <w:rPr>
          <w:bCs/>
          <w:b/>
        </w:rPr>
        <w:t xml:space="preserve">Table 1.</w:t>
      </w:r>
      <w:r>
        <w:t xml:space="preserve"> </w:t>
      </w:r>
      <w:r>
        <w:t xml:space="preserve">Proposed input priorities: ● primary evidence in the selected design, ○ supplementary evidence, – not emphasized. These entries are hypotheses, not proofs of necessity, sufficiency or absence of information.</w:t>
      </w:r>
    </w:p>
    <w:tbl>
      <w:tblPr>
        <w:tblStyle w:val="Table"/>
        <w:tblW w:type="pct" w:w="5000"/>
        <w:tblLayout w:type="autofit"/>
        <w:tblLook w:firstRow="1" w:lastRow="0" w:firstColumn="0" w:lastColumn="0" w:noHBand="0" w:noVBand="0" w:val="002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true"/>
          <w:tblHeader w:val="true"/>
        </w:trPr>
        <w:tc>
          <w:tcPr>
            <w:shd w:val="clear" w:color="auto" w:fill="E8EDF3"/>
            <w:vAlign w:val="center"/>
          </w:tcPr>
          <w:p>
            <w:pPr>
              <w:pStyle w:val="Compact"/>
              <w:spacing w:after="20"/>
              <w:jc w:val="left"/>
            </w:pPr>
            <w:r>
              <w:rPr>
                <w:b/>
                <w:sz w:val="16"/>
              </w:rPr>
              <w:t xml:space="preserve">Class</w:t>
            </w:r>
          </w:p>
        </w:tc>
        <w:tc>
          <w:tcPr>
            <w:shd w:val="clear" w:color="auto" w:fill="E8EDF3"/>
            <w:vAlign w:val="center"/>
          </w:tcPr>
          <w:p>
            <w:pPr>
              <w:pStyle w:val="Compact"/>
              <w:spacing w:after="20"/>
              <w:jc w:val="left"/>
            </w:pPr>
            <w:r>
              <w:rPr>
                <w:b/>
                <w:sz w:val="16"/>
              </w:rPr>
              <w:t xml:space="preserve">Co-pol spectrogram</w:t>
            </w:r>
          </w:p>
        </w:tc>
        <w:tc>
          <w:tcPr>
            <w:shd w:val="clear" w:color="auto" w:fill="E8EDF3"/>
            <w:vAlign w:val="center"/>
          </w:tcPr>
          <w:p>
            <w:pPr>
              <w:pStyle w:val="Compact"/>
              <w:spacing w:after="20"/>
              <w:jc w:val="left"/>
            </w:pPr>
            <w:r>
              <w:rPr>
                <w:b/>
                <w:sz w:val="16"/>
              </w:rPr>
              <w:t xml:space="preserve">Cross-pol spectrogram</w:t>
            </w:r>
          </w:p>
        </w:tc>
        <w:tc>
          <w:tcPr>
            <w:shd w:val="clear" w:color="auto" w:fill="E8EDF3"/>
            <w:vAlign w:val="center"/>
          </w:tcPr>
          <w:p>
            <w:pPr>
              <w:pStyle w:val="Compact"/>
              <w:spacing w:after="20"/>
              <w:jc w:val="left"/>
            </w:pPr>
            <w:r>
              <w:rPr>
                <w:b/>
                <w:sz w:val="16"/>
              </w:rPr>
              <w:t xml:space="preserve">Carrier-plan mask</w:t>
            </w:r>
          </w:p>
        </w:tc>
        <w:tc>
          <w:tcPr>
            <w:shd w:val="clear" w:color="auto" w:fill="E8EDF3"/>
            <w:vAlign w:val="center"/>
          </w:tcPr>
          <w:p>
            <w:pPr>
              <w:pStyle w:val="Compact"/>
              <w:spacing w:after="20"/>
              <w:jc w:val="left"/>
            </w:pPr>
            <w:r>
              <w:rPr>
                <w:b/>
                <w:sz w:val="16"/>
              </w:rPr>
              <w:t xml:space="preserve">Temporal behaviour</w:t>
            </w:r>
          </w:p>
        </w:tc>
        <w:tc>
          <w:tcPr>
            <w:shd w:val="clear" w:color="auto" w:fill="E8EDF3"/>
            <w:vAlign w:val="center"/>
          </w:tcPr>
          <w:p>
            <w:pPr>
              <w:pStyle w:val="Compact"/>
              <w:spacing w:after="20"/>
              <w:jc w:val="left"/>
            </w:pPr>
            <w:r>
              <w:rPr>
                <w:b/>
                <w:sz w:val="16"/>
              </w:rPr>
              <w:t xml:space="preserve">Cyclic features</w:t>
            </w:r>
          </w:p>
        </w:tc>
      </w:tr>
      <w:tr>
        <w:tc>
          <w:tcPr>
            <w:vAlign w:val="center"/>
          </w:tcPr>
          <w:p>
            <w:pPr>
              <w:pStyle w:val="Compact"/>
              <w:spacing w:after="20"/>
              <w:jc w:val="left"/>
            </w:pPr>
            <w:r>
              <w:rPr>
                <w:sz w:val="16"/>
              </w:rPr>
              <w:t xml:space="preserve">Clean</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CW</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Swept CW</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Cross-pol leakage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Adjacent-satellite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Unauthorized carrier</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Carrier-under-carrier</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r>
        <w:tc>
          <w:tcPr>
            <w:vAlign w:val="center"/>
          </w:tcPr>
          <w:p>
            <w:pPr>
              <w:pStyle w:val="Compact"/>
              <w:spacing w:after="20"/>
              <w:jc w:val="left"/>
            </w:pPr>
            <w:r>
              <w:rPr>
                <w:sz w:val="16"/>
              </w:rPr>
              <w:t xml:space="preserve">Overdrive IM</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c>
          <w:tcPr>
            <w:vAlign w:val="center"/>
          </w:tcPr>
          <w:p>
            <w:pPr>
              <w:pStyle w:val="Compact"/>
              <w:spacing w:after="20"/>
              <w:jc w:val="left"/>
            </w:pPr>
            <w:r>
              <w:rPr>
                <w:sz w:val="16"/>
              </w:rPr>
              <w:t xml:space="preserve">–</w:t>
            </w:r>
          </w:p>
        </w:tc>
      </w:tr>
    </w:tbl>
    <w:p>
      <w:pPr>
        <w:pStyle w:val="BodyText"/>
      </w:pPr>
      <w:r>
        <w:t xml:space="preserve">Two cases deserve comment. CW needs the plan to be told apart from beacons, pilots and plan-predicted IM lines, and the cross-polar view to be told apart from a modulated carrier that has collapsed to CW on the opposite polarization [2]. Adjacent-satellite and unauthorized carriers share the same row, which suggests — but does not prove — that they may be hard to separate from a single downlink snapshot; level dynamics or geolocation may still differ, and C2 measures their confusion empirically. Cyclic features are prioritized for carrier-under-carrier experiments, and the temporal axis for swept-CW experiments. Neither priority excludes alternative detectors. Labels also mix waveform types, entry paths and operational causes; their sampling rules must prevent overlap or expose ambiguous cases. Adjacent-satellite origin cannot generally be established from plan inconsistency alone.</w:t>
      </w:r>
    </w:p>
    <w:bookmarkEnd w:id="26"/>
    <w:bookmarkStart w:id="27" w:name="open-set-recognition"/>
    <w:p>
      <w:pPr>
        <w:pStyle w:val="Heading2"/>
      </w:pPr>
      <w:r>
        <w:t xml:space="preserve">6. Open-set recognition</w:t>
      </w:r>
    </w:p>
    <w:p>
      <w:pPr>
        <w:pStyle w:val="FirstParagraph"/>
      </w:pPr>
      <w:r>
        <w:t>A recognizer trained on a fixed list of classes will, by default, assign every input to one of them. Open-set recognition (OSR) and out-of-distribution (OOD) detection address this by allowing a model to reject inputs that belong to no known class [72], [73]. For a GEO operator, rejection is not an edge case: new forms of jamming continue to appear [5], and historical trade accounts describe unattributed events [1].</w:t>
      </w:r>
    </w:p>
    <w:p>
      <w:pPr>
        <w:pStyle w:val="BodyText"/>
      </w:pPr>
      <w:r>
        <w:t>The methods most relevant here are post-hoc scores computed on a trained classifier. Maximum softmax probability (MSP) is the standard baseline [74], and ODIN sharpens it with temperature scaling and input perturbation [75]. The energy score replaces the softmax with a log-sum-exp of the logits and separates in- and out-of-distribution data more reliably [76]. The Mahalanobis score fits class-conditional Gaussians to the network’s embeddings and measures distance to the nearest class [77]. OpenMax [78] calibrates activation-vector tails and modifies output probabilities for a trained network; it is not, by itself, a representation-learning objective. Adversarial reciprocal-point learning [79] instead introduces training-time objectives. A result with direct consequences for experimental design is that a well-trained closed-set classifier, scored with MSP or maximum logit, matches or beats many specialized OSR methods [80]. Open-set performance is therefore tied to closed-set accuracy, and the open-set classification rate (OSCR) [81] measures both together.</w:t>
      </w:r>
    </w:p>
    <w:p>
      <w:pPr>
        <w:pStyle w:val="BodyText"/>
      </w:pPr>
      <w:r>
        <w:t xml:space="preserve">All three post-hoc scores fit one decision rule. With logits g_k(x) over C known classes, embedding v = v(x), and class means μ_k and shared covariance Σ estimated on training data, a threshold τ on a score S(x) turns the classifier into an open-set recognizer:</w:t>
      </w:r>
    </w:p>
    <w:p>
      <w:pPr>
        <w:pStyle w:val="BodyText"/>
      </w:pPr>
      <m:oMathPara>
        <m:oMathParaPr>
          <m:jc m:val="center"/>
        </m:oMathParaPr>
        <m:oMath>
          <m:acc>
            <m:accPr>
              <m:chr m:val="̂"/>
            </m:accPr>
            <m:e>
              <m:r>
                <m:t>y</m:t>
              </m:r>
            </m:e>
          </m:acc>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arg</m:t>
                    </m:r>
                    <m:limLow>
                      <m:e>
                        <m:r>
                          <m:rPr>
                            <m:sty m:val="p"/>
                          </m:rPr>
                          <m:t>max</m:t>
                        </m:r>
                      </m:e>
                      <m:lim>
                        <m:r>
                          <m:t>k</m:t>
                        </m:r>
                      </m:lim>
                    </m:limLow>
                    <m:sSub>
                      <m:e>
                        <m:r>
                          <m:t>g</m:t>
                        </m:r>
                      </m:e>
                      <m:sub>
                        <m:r>
                          <m:t>k</m:t>
                        </m:r>
                      </m:sub>
                    </m:sSub>
                    <m:d>
                      <m:dPr>
                        <m:begChr m:val="("/>
                        <m:endChr m:val=")"/>
                        <m:sepChr m:val=""/>
                        <m:grow/>
                      </m:dPr>
                      <m:e>
                        <m:r>
                          <m:t>x</m:t>
                        </m:r>
                      </m:e>
                    </m:d>
                    <m:r>
                      <m:rPr>
                        <m:sty m:val="p"/>
                      </m:rPr>
                      <m:t>,</m:t>
                    </m:r>
                  </m:e>
                  <m:e>
                    <m:r>
                      <m:t>S</m:t>
                    </m:r>
                    <m:d>
                      <m:dPr>
                        <m:begChr m:val="("/>
                        <m:endChr m:val=")"/>
                        <m:sepChr m:val=""/>
                        <m:grow/>
                      </m:dPr>
                      <m:e>
                        <m:r>
                          <m:t>x</m:t>
                        </m:r>
                      </m:e>
                    </m:d>
                    <m:r>
                      <m:rPr>
                        <m:sty m:val="p"/>
                      </m:rPr>
                      <m:t>≥</m:t>
                    </m:r>
                    <m:r>
                      <m:t>τ</m:t>
                    </m:r>
                  </m:e>
                </m:mr>
                <m:mr>
                  <m:e>
                    <m:r>
                      <m:rPr>
                        <m:nor/>
                        <m:sty m:val="p"/>
                      </m:rPr>
                      <m:t>unknown</m:t>
                    </m:r>
                    <m:r>
                      <m:rPr>
                        <m:sty m:val="p"/>
                      </m:rPr>
                      <m:t>,</m:t>
                    </m:r>
                  </m:e>
                  <m:e>
                    <m:r>
                      <m:t>S</m:t>
                    </m:r>
                    <m:d>
                      <m:dPr>
                        <m:begChr m:val="("/>
                        <m:endChr m:val=")"/>
                        <m:sepChr m:val=""/>
                        <m:grow/>
                      </m:dPr>
                      <m:e>
                        <m:r>
                          <m:t>x</m:t>
                        </m:r>
                      </m:e>
                    </m:d>
                    <m:r>
                      <m:rPr>
                        <m:sty m:val="p"/>
                      </m:rPr>
                      <m:t>&lt;</m:t>
                    </m:r>
                    <m:r>
                      <m:t>τ</m:t>
                    </m:r>
                  </m:e>
                </m:mr>
              </m:m>
            </m:e>
          </m:d>
        </m:oMath>
      </m:oMathPara>
    </w:p>
    <w:p>
      <w:pPr>
        <w:pStyle w:val="FirstParagraph"/>
      </w:pPr>
      <m:oMathPara>
        <m:oMathParaPr>
          <m:jc m:val="center"/>
        </m:oMathParaPr>
        <m:oMath>
          <m:sSub>
            <m:e>
              <m:r>
                <m:t>S</m:t>
              </m:r>
            </m:e>
            <m:sub>
              <m:r>
                <m:rPr>
                  <m:sty m:val="p"/>
                </m:rPr>
                <m:t>M</m:t>
              </m:r>
              <m:r>
                <m:rPr>
                  <m:sty m:val="p"/>
                </m:rPr>
                <m:t>S</m:t>
              </m:r>
              <m:r>
                <m:rPr>
                  <m:sty m:val="p"/>
                </m:rPr>
                <m:t>P</m:t>
              </m:r>
            </m:sub>
          </m:sSub>
          <m:d>
            <m:dPr>
              <m:begChr m:val="("/>
              <m:endChr m:val=")"/>
              <m:sepChr m:val=""/>
              <m:grow/>
            </m:dPr>
            <m:e>
              <m:r>
                <m:t>x</m:t>
              </m:r>
            </m:e>
          </m:d>
          <m:r>
            <m:rPr>
              <m:sty m:val="p"/>
            </m:rPr>
            <m:t>=</m:t>
          </m:r>
          <m:limLow>
            <m:e>
              <m:r>
                <m:rPr>
                  <m:sty m:val="p"/>
                </m:rPr>
                <m:t>max</m:t>
              </m:r>
            </m:e>
            <m:lim>
              <m:r>
                <m:t>k</m:t>
              </m:r>
            </m:lim>
          </m:limLow>
          <m:f>
            <m:fPr>
              <m:type m:val="bar"/>
            </m:fPr>
            <m:num>
              <m:sSup>
                <m:e>
                  <m:r>
                    <m:t>e</m:t>
                  </m:r>
                </m:e>
                <m:sup>
                  <m:sSub>
                    <m:e>
                      <m:r>
                        <m:t>g</m:t>
                      </m:r>
                    </m:e>
                    <m:sub>
                      <m:r>
                        <m:t>k</m:t>
                      </m:r>
                    </m:sub>
                  </m:sSub>
                  <m:d>
                    <m:dPr>
                      <m:begChr m:val="("/>
                      <m:endChr m:val=")"/>
                      <m:sepChr m:val=""/>
                      <m:grow/>
                    </m:dPr>
                    <m:e>
                      <m:r>
                        <m:t>x</m:t>
                      </m:r>
                    </m:e>
                  </m:d>
                </m:sup>
              </m:sSup>
            </m:num>
            <m:den>
              <m:nary>
                <m:naryPr>
                  <m:chr m:val="∑"/>
                  <m:limLoc m:val="undOvr"/>
                  <m:subHide m:val="off"/>
                  <m:supHide m:val="on"/>
                </m:naryPr>
                <m:sub>
                  <m:r>
                    <m:t>j</m:t>
                  </m:r>
                </m:sub>
                <m:sup>
                  <m:r>
                    <m:t>​</m:t>
                  </m:r>
                </m:sup>
                <m:e>
                  <m:sSup>
                    <m:e>
                      <m:r>
                        <m:t>e</m:t>
                      </m:r>
                    </m:e>
                    <m:sup>
                      <m:sSub>
                        <m:e>
                          <m:r>
                            <m:t>g</m:t>
                          </m:r>
                        </m:e>
                        <m:sub>
                          <m:r>
                            <m:t>j</m:t>
                          </m:r>
                        </m:sub>
                      </m:sSub>
                      <m:d>
                        <m:dPr>
                          <m:begChr m:val="("/>
                          <m:endChr m:val=")"/>
                          <m:sepChr m:val=""/>
                          <m:grow/>
                        </m:dPr>
                        <m:e>
                          <m:r>
                            <m:t>x</m:t>
                          </m:r>
                        </m:e>
                      </m:d>
                    </m:sup>
                  </m:sSup>
                </m:e>
              </m:nary>
            </m:den>
          </m:f>
          <m:r>
            <m:rPr>
              <m:sty m:val="p"/>
            </m:rPr>
            <m:t>,</m:t>
          </m:r>
          <m:r>
            <m:t>  </m:t>
          </m:r>
          <m:sSub>
            <m:e>
              <m:r>
                <m:t>S</m:t>
              </m:r>
            </m:e>
            <m:sub>
              <m:r>
                <m:rPr>
                  <m:sty m:val="p"/>
                </m:rPr>
                <m:t>E</m:t>
              </m:r>
            </m:sub>
          </m:sSub>
          <m:d>
            <m:dPr>
              <m:begChr m:val="("/>
              <m:endChr m:val=")"/>
              <m:sepChr m:val=""/>
              <m:grow/>
            </m:dPr>
            <m:e>
              <m:r>
                <m:t>x</m:t>
              </m:r>
            </m:e>
          </m:d>
          <m:r>
            <m:rPr>
              <m:sty m:val="p"/>
            </m:rPr>
            <m:t>=</m:t>
          </m:r>
          <m:r>
            <m:rPr>
              <m:sty m:val="p"/>
            </m:rPr>
            <m:t>−</m:t>
          </m:r>
          <m:r>
            <m:t>E</m:t>
          </m:r>
          <m:d>
            <m:dPr>
              <m:begChr m:val="("/>
              <m:endChr m:val=")"/>
              <m:sepChr m:val=""/>
              <m:grow/>
            </m:dPr>
            <m:e>
              <m:r>
                <m:t>x</m:t>
              </m:r>
            </m:e>
          </m:d>
          <m:r>
            <m:rPr>
              <m:sty m:val="p"/>
            </m:rPr>
            <m:t>=</m:t>
          </m:r>
          <m:sSub>
            <m:e>
              <m:r>
                <m:t>T</m:t>
              </m:r>
            </m:e>
            <m:sub>
              <m:r>
                <m:t>E</m:t>
              </m:r>
            </m:sub>
          </m:sSub>
          <m:r>
            <m:rPr>
              <m:sty m:val="p"/>
            </m:rPr>
            <m:t>log</m:t>
          </m:r>
          <m:nary>
            <m:naryPr>
              <m:chr m:val="∑"/>
              <m:limLoc m:val="undOvr"/>
              <m:subHide m:val="off"/>
              <m:supHide m:val="on"/>
            </m:naryPr>
            <m:sub>
              <m:r>
                <m:t>k</m:t>
              </m:r>
            </m:sub>
            <m:sup>
              <m:r>
                <m:t>​</m:t>
              </m:r>
            </m:sup>
            <m:e>
              <m:sSup>
                <m:e>
                  <m:r>
                    <m:t>e</m:t>
                  </m:r>
                </m:e>
                <m:sup>
                  <m:sSub>
                    <m:e>
                      <m:r>
                        <m:t>g</m:t>
                      </m:r>
                    </m:e>
                    <m:sub>
                      <m:r>
                        <m:t>k</m:t>
                      </m:r>
                    </m:sub>
                  </m:sSub>
                  <m:d>
                    <m:dPr>
                      <m:begChr m:val="("/>
                      <m:endChr m:val=")"/>
                      <m:sepChr m:val=""/>
                      <m:grow/>
                    </m:dPr>
                    <m:e>
                      <m:r>
                        <m:t>x</m:t>
                      </m:r>
                    </m:e>
                  </m:d>
                  <m:r>
                    <m:rPr>
                      <m:sty m:val="p"/>
                    </m:rPr>
                    <m:t>/</m:t>
                  </m:r>
                  <m:sSub>
                    <m:e>
                      <m:r>
                        <m:t>T</m:t>
                      </m:r>
                    </m:e>
                    <m:sub>
                      <m:r>
                        <m:t>E</m:t>
                      </m:r>
                    </m:sub>
                  </m:sSub>
                </m:sup>
              </m:sSup>
            </m:e>
          </m:nary>
          <m:r>
            <m:rPr>
              <m:sty m:val="p"/>
            </m:rPr>
            <m:t>,</m:t>
          </m:r>
          <m:r>
            <m:t>  </m:t>
          </m:r>
          <m:sSub>
            <m:e>
              <m:r>
                <m:t>S</m:t>
              </m:r>
            </m:e>
            <m:sub>
              <m:r>
                <m:rPr>
                  <m:sty m:val="p"/>
                </m:rPr>
                <m:t>M</m:t>
              </m:r>
            </m:sub>
          </m:sSub>
          <m:d>
            <m:dPr>
              <m:begChr m:val="("/>
              <m:endChr m:val=")"/>
              <m:sepChr m:val=""/>
              <m:grow/>
            </m:dPr>
            <m:e>
              <m:r>
                <m:t>x</m:t>
              </m:r>
            </m:e>
          </m:d>
          <m:r>
            <m:rPr>
              <m:sty m:val="p"/>
            </m:rPr>
            <m:t>=</m:t>
          </m:r>
          <m:r>
            <m:rPr>
              <m:sty m:val="p"/>
            </m:rPr>
            <m:t>−</m:t>
          </m:r>
          <m:limLow>
            <m:e>
              <m:r>
                <m:rPr>
                  <m:sty m:val="p"/>
                </m:rPr>
                <m:t>min</m:t>
              </m:r>
            </m:e>
            <m:lim>
              <m:r>
                <m:t>k</m:t>
              </m:r>
            </m:lim>
          </m:limLow>
          <m:sSup>
            <m:e>
              <m:d>
                <m:dPr>
                  <m:begChr m:val="("/>
                  <m:endChr m:val=")"/>
                  <m:sepChr m:val=""/>
                  <m:grow/>
                </m:dPr>
                <m:e>
                  <m:r>
                    <m:t>v</m:t>
                  </m:r>
                  <m:r>
                    <m:rPr>
                      <m:sty m:val="p"/>
                    </m:rPr>
                    <m:t>−</m:t>
                  </m:r>
                  <m:sSub>
                    <m:e>
                      <m:r>
                        <m:t>μ</m:t>
                      </m:r>
                    </m:e>
                    <m:sub>
                      <m:r>
                        <m:t>k</m:t>
                      </m:r>
                    </m:sub>
                  </m:sSub>
                </m:e>
              </m:d>
            </m:e>
            <m:sup>
              <m:r>
                <m:rPr>
                  <m:sty m:val="p"/>
                </m:rPr>
                <m:t>⊤</m:t>
              </m:r>
            </m:sup>
          </m:sSup>
          <m:sSup>
            <m:e>
              <m:r>
                <m:t>Σ</m:t>
              </m:r>
            </m:e>
            <m:sup>
              <m:r>
                <m:rPr>
                  <m:sty m:val="p"/>
                </m:rPr>
                <m:t>−</m:t>
              </m:r>
              <m:r>
                <m:t>1</m:t>
              </m:r>
            </m:sup>
          </m:sSup>
          <m:d>
            <m:dPr>
              <m:begChr m:val="("/>
              <m:endChr m:val=")"/>
              <m:sepChr m:val=""/>
              <m:grow/>
            </m:dPr>
            <m:e>
              <m:r>
                <m:t>v</m:t>
              </m:r>
              <m:r>
                <m:rPr>
                  <m:sty m:val="p"/>
                </m:rPr>
                <m:t>−</m:t>
              </m:r>
              <m:sSub>
                <m:e>
                  <m:r>
                    <m:t>μ</m:t>
                  </m:r>
                </m:e>
                <m:sub>
                  <m:r>
                    <m:t>k</m:t>
                  </m:r>
                </m:sub>
              </m:sSub>
            </m:e>
          </m:d>
        </m:oMath>
      </m:oMathPara>
    </w:p>
    <w:p>
      <w:pPr>
        <w:pStyle w:val="FirstParagraph"/>
      </w:pPr>
      <w:r>
        <w:t>Here S_E is negative free energy, so larger values indicate greater known-class confidence, consistently with the acceptance rule [76]. It is not a calibrated probability. Estimate class means and covariance on training embeddings; choose covariance shrinkage, temperatures and thresholds using designated validation data.</w:t>
      </w:r>
    </w:p>
    <w:p>
      <w:pPr>
        <w:pStyle w:val="BodyText"/>
      </w:pPr>
      <w:r>
        <w:t>OSCR sweeps τ and traces the correct classification rate on known data D_K against the false-positive rate on unknown data D_U [81]:</w:t>
      </w:r>
    </w:p>
    <w:p>
      <w:pPr>
        <w:pStyle w:val="BodyText"/>
      </w:pPr>
      <m:oMathPara>
        <m:oMathParaPr>
          <m:jc m:val="center"/>
        </m:oMathParaPr>
        <m:oMath>
          <m:r>
            <m:rPr>
              <m:sty m:val="p"/>
            </m:rPr>
            <m:t>C</m:t>
          </m:r>
          <m:r>
            <m:rPr>
              <m:sty m:val="p"/>
            </m:rPr>
            <m:t>C</m:t>
          </m:r>
          <m:r>
            <m:rPr>
              <m:sty m:val="p"/>
            </m:rPr>
            <m:t>R</m:t>
          </m:r>
          <m:d>
            <m:dPr>
              <m:begChr m:val="("/>
              <m:endChr m:val=")"/>
              <m:sepChr m:val=""/>
              <m:grow/>
            </m:dPr>
            <m:e>
              <m:r>
                <m:t>τ</m:t>
              </m:r>
            </m:e>
          </m:d>
          <m:r>
            <m:rPr>
              <m:sty m:val="p"/>
            </m:rPr>
            <m:t>=</m:t>
          </m:r>
          <m:f>
            <m:fPr>
              <m:type m:val="bar"/>
            </m:fPr>
            <m:num>
              <m:d>
                <m:dPr>
                  <m:begChr m:val="|"/>
                  <m:endChr m:val="|"/>
                  <m:sepChr m:val=""/>
                  <m:grow/>
                </m:dPr>
                <m:e>
                  <m:r>
                    <m:rPr>
                      <m:sty m:val="p"/>
                    </m:rPr>
                    <m:t>{</m:t>
                  </m:r>
                  <m:r>
                    <m:t>x</m:t>
                  </m:r>
                  <m:r>
                    <m:rPr>
                      <m:sty m:val="p"/>
                    </m:rPr>
                    <m:t>∈</m:t>
                  </m:r>
                  <m:sSub>
                    <m:e>
                      <m:r>
                        <m:rPr>
                          <m:sty m:val="p"/>
                          <m:scr m:val="script"/>
                        </m:rPr>
                        <m:t>D</m:t>
                      </m:r>
                    </m:e>
                    <m:sub>
                      <m:r>
                        <m:t>K</m:t>
                      </m:r>
                    </m:sub>
                  </m:sSub>
                  <m:r>
                    <m:rPr>
                      <m:sty m:val="p"/>
                    </m:rPr>
                    <m:t>:</m:t>
                  </m:r>
                  <m:r>
                    <m:rPr>
                      <m:sty m:val="p"/>
                    </m:rPr>
                    <m:t>arg</m:t>
                  </m:r>
                  <m:limLow>
                    <m:e>
                      <m:r>
                        <m:rPr>
                          <m:sty m:val="p"/>
                        </m:rPr>
                        <m:t>max</m:t>
                      </m:r>
                    </m:e>
                    <m:lim>
                      <m:r>
                        <m:t>k</m:t>
                      </m:r>
                    </m:lim>
                  </m:limLow>
                  <m:sSub>
                    <m:e>
                      <m:r>
                        <m:t>g</m:t>
                      </m:r>
                    </m:e>
                    <m:sub>
                      <m:r>
                        <m:t>k</m:t>
                      </m:r>
                    </m:sub>
                  </m:sSub>
                  <m:d>
                    <m:dPr>
                      <m:begChr m:val="("/>
                      <m:endChr m:val=")"/>
                      <m:sepChr m:val=""/>
                      <m:grow/>
                    </m:dPr>
                    <m:e>
                      <m:r>
                        <m:t>x</m:t>
                      </m:r>
                    </m:e>
                  </m:d>
                  <m:r>
                    <m:rPr>
                      <m:sty m:val="p"/>
                    </m:rPr>
                    <m:t>=</m:t>
                  </m:r>
                  <m:r>
                    <m:t>y</m:t>
                  </m:r>
                  <m:r>
                    <m:rPr>
                      <m:sty m:val="p"/>
                    </m:rPr>
                    <m:t>,</m:t>
                  </m:r>
                  <m:r>
                    <m:t> </m:t>
                  </m:r>
                  <m:r>
                    <m:t>S</m:t>
                  </m:r>
                  <m:d>
                    <m:dPr>
                      <m:begChr m:val="("/>
                      <m:endChr m:val=")"/>
                      <m:sepChr m:val=""/>
                      <m:grow/>
                    </m:dPr>
                    <m:e>
                      <m:r>
                        <m:t>x</m:t>
                      </m:r>
                    </m:e>
                  </m:d>
                  <m:r>
                    <m:rPr>
                      <m:sty m:val="p"/>
                    </m:rPr>
                    <m:t>≥</m:t>
                  </m:r>
                  <m:r>
                    <m:t>τ</m:t>
                  </m:r>
                  <m:r>
                    <m:rPr>
                      <m:sty m:val="p"/>
                    </m:rPr>
                    <m:t>}</m:t>
                  </m:r>
                </m:e>
              </m:d>
            </m:num>
            <m:den>
              <m:d>
                <m:dPr>
                  <m:begChr m:val="|"/>
                  <m:endChr m:val="|"/>
                  <m:sepChr m:val=""/>
                  <m:grow/>
                </m:dPr>
                <m:e>
                  <m:sSub>
                    <m:e>
                      <m:r>
                        <m:rPr>
                          <m:sty m:val="p"/>
                          <m:scr m:val="script"/>
                        </m:rPr>
                        <m:t>D</m:t>
                      </m:r>
                    </m:e>
                    <m:sub>
                      <m:r>
                        <m:t>K</m:t>
                      </m:r>
                    </m:sub>
                  </m:sSub>
                </m:e>
              </m:d>
            </m:den>
          </m:f>
          <m:r>
            <m:rPr>
              <m:sty m:val="p"/>
            </m:rPr>
            <m:t>,</m:t>
          </m:r>
          <m:r>
            <m:t>  </m:t>
          </m:r>
          <m:r>
            <m:rPr>
              <m:sty m:val="p"/>
            </m:rPr>
            <m:t>F</m:t>
          </m:r>
          <m:r>
            <m:rPr>
              <m:sty m:val="p"/>
            </m:rPr>
            <m:t>P</m:t>
          </m:r>
          <m:r>
            <m:rPr>
              <m:sty m:val="p"/>
            </m:rPr>
            <m:t>R</m:t>
          </m:r>
          <m:d>
            <m:dPr>
              <m:begChr m:val="("/>
              <m:endChr m:val=")"/>
              <m:sepChr m:val=""/>
              <m:grow/>
            </m:dPr>
            <m:e>
              <m:r>
                <m:t>τ</m:t>
              </m:r>
            </m:e>
          </m:d>
          <m:r>
            <m:rPr>
              <m:sty m:val="p"/>
            </m:rPr>
            <m:t>=</m:t>
          </m:r>
          <m:f>
            <m:fPr>
              <m:type m:val="bar"/>
            </m:fPr>
            <m:num>
              <m:d>
                <m:dPr>
                  <m:begChr m:val="|"/>
                  <m:endChr m:val="|"/>
                  <m:sepChr m:val=""/>
                  <m:grow/>
                </m:dPr>
                <m:e>
                  <m:r>
                    <m:rPr>
                      <m:sty m:val="p"/>
                    </m:rPr>
                    <m:t>{</m:t>
                  </m:r>
                  <m:r>
                    <m:t>x</m:t>
                  </m:r>
                  <m:r>
                    <m:rPr>
                      <m:sty m:val="p"/>
                    </m:rPr>
                    <m:t>∈</m:t>
                  </m:r>
                  <m:sSub>
                    <m:e>
                      <m:r>
                        <m:rPr>
                          <m:sty m:val="p"/>
                          <m:scr m:val="script"/>
                        </m:rPr>
                        <m:t>D</m:t>
                      </m:r>
                    </m:e>
                    <m:sub>
                      <m:r>
                        <m:t>U</m:t>
                      </m:r>
                    </m:sub>
                  </m:sSub>
                  <m:r>
                    <m:rPr>
                      <m:sty m:val="p"/>
                    </m:rPr>
                    <m:t>:</m:t>
                  </m:r>
                  <m:r>
                    <m:t>S</m:t>
                  </m:r>
                  <m:d>
                    <m:dPr>
                      <m:begChr m:val="("/>
                      <m:endChr m:val=")"/>
                      <m:sepChr m:val=""/>
                      <m:grow/>
                    </m:dPr>
                    <m:e>
                      <m:r>
                        <m:t>x</m:t>
                      </m:r>
                    </m:e>
                  </m:d>
                  <m:r>
                    <m:rPr>
                      <m:sty m:val="p"/>
                    </m:rPr>
                    <m:t>≥</m:t>
                  </m:r>
                  <m:r>
                    <m:t>τ</m:t>
                  </m:r>
                  <m:r>
                    <m:rPr>
                      <m:sty m:val="p"/>
                    </m:rPr>
                    <m:t>}</m:t>
                  </m:r>
                </m:e>
              </m:d>
            </m:num>
            <m:den>
              <m:d>
                <m:dPr>
                  <m:begChr m:val="|"/>
                  <m:endChr m:val="|"/>
                  <m:sepChr m:val=""/>
                  <m:grow/>
                </m:dPr>
                <m:e>
                  <m:sSub>
                    <m:e>
                      <m:r>
                        <m:rPr>
                          <m:sty m:val="p"/>
                          <m:scr m:val="script"/>
                        </m:rPr>
                        <m:t>D</m:t>
                      </m:r>
                    </m:e>
                    <m:sub>
                      <m:r>
                        <m:t>U</m:t>
                      </m:r>
                    </m:sub>
                  </m:sSub>
                </m:e>
              </m:d>
            </m:den>
          </m:f>
          <m:r>
            <m:rPr>
              <m:sty m:val="p"/>
            </m:rPr>
            <m:t>,</m:t>
          </m:r>
          <m:r>
            <m:t>  </m:t>
          </m:r>
          <m:r>
            <m:rPr>
              <m:sty m:val="p"/>
            </m:rPr>
            <m:t>O</m:t>
          </m:r>
          <m:r>
            <m:rPr>
              <m:sty m:val="p"/>
            </m:rPr>
            <m:t>S</m:t>
          </m:r>
          <m:r>
            <m:rPr>
              <m:sty m:val="p"/>
            </m:rPr>
            <m:t>C</m:t>
          </m:r>
          <m:r>
            <m:rPr>
              <m:sty m:val="p"/>
            </m:rPr>
            <m:t>R</m:t>
          </m:r>
          <m:r>
            <m:rPr>
              <m:sty m:val="p"/>
            </m:rPr>
            <m:t>=</m:t>
          </m:r>
          <m:nary>
            <m:naryPr>
              <m:chr m:val="∫"/>
              <m:limLoc m:val="subSup"/>
              <m:subHide m:val="off"/>
              <m:supHide m:val="off"/>
            </m:naryPr>
            <m:sub>
              <m:r>
                <m:t>0</m:t>
              </m:r>
            </m:sub>
            <m:sup>
              <m:r>
                <m:t>1</m:t>
              </m:r>
            </m:sup>
            <m:e>
              <m:r>
                <m:rPr>
                  <m:sty m:val="p"/>
                </m:rPr>
                <m:t>C</m:t>
              </m:r>
              <m:r>
                <m:rPr>
                  <m:sty m:val="p"/>
                </m:rPr>
                <m:t>C</m:t>
              </m:r>
              <m:r>
                <m:rPr>
                  <m:sty m:val="p"/>
                </m:rPr>
                <m:t>R</m:t>
              </m:r>
            </m:e>
          </m:nary>
          <m:r>
            <m:t> </m:t>
          </m:r>
          <m:r>
            <m:t>d</m:t>
          </m:r>
          <m:r>
            <m:t> </m:t>
          </m:r>
          <m:r>
            <m:rPr>
              <m:sty m:val="p"/>
            </m:rPr>
            <m:t>F</m:t>
          </m:r>
          <m:r>
            <m:rPr>
              <m:sty m:val="p"/>
            </m:rPr>
            <m:t>P</m:t>
          </m:r>
          <m:r>
            <m:rPr>
              <m:sty m:val="p"/>
            </m:rPr>
            <m:t>R</m:t>
          </m:r>
        </m:oMath>
      </m:oMathPara>
    </w:p>
    <w:p>
      <w:pPr>
        <w:pStyle w:val="FirstParagraph"/>
      </w:pPr>
      <w:r>
        <w:t xml:space="preserve">Because CCR counts only correctly classified known samples, OSCR falls when either closed-set accuracy or rejection degrades, which is why it complements AUROC.</w:t>
      </w:r>
    </w:p>
    <w:p>
      <w:pPr>
        <w:pStyle w:val="BodyText"/>
      </w:pPr>
      <w:r>
        <w:t>These methods have spread widely through RF recognition. Open-set automatic modulation classification has been addressed with LSTM models and extreme-value calibration [82], reconstruction-based rejection [83], few-shot formulations [84] and studies of adversarial robustness [85]. Open-set RF fingerprinting uses prototype learning [86], and pairing a deep model with an expert-feature classifier improves open-set wireless signal classification [87]. Jamming recognition has followed: convolutional prototype learning rejects unknown classes among nine simulated jamming types [88], OpenMax and extreme-value methods handle unknown radar jamming [89], [90], and domain-specific networks and prototype methods continue the line [91], [92]. In GNSS, few-shot learning for new interference classes [34] and uncertainty-based reliability [32] pursue related goals.</w:t>
      </w:r>
    </w:p>
    <w:p>
      <w:pPr>
        <w:pStyle w:val="BodyText"/>
      </w:pPr>
      <w:r>
        <w:t>The open-set examples cited here do not establish the combined loaded-transponder monitoring task proposed in this review. The satellite interference models of Section 3 are either anomaly detectors, which flag deviations but cannot name known causes, or closed-set classifiers, which name causes but cannot reject unknown ones. Agon’s out-of-distribution tests [24] address covariate shift — the same task on different constellations and datasets — rather than unknown interference classes. The observation that OSR has been neglected in deep-learning interference work [50] holds for the GEO case in particular.</w:t>
      </w:r>
    </w:p>
    <w:p>
      <w:pPr>
        <w:pStyle w:val="BodyText"/>
      </w:pPr>
      <w:r>
        <w:t>The OSR literature also warns of evaluation pitfalls that shape our protocol. How hard the unknowns are depends on how close they lie to the known classes, so results must be reported per unknown class rather than pooled [73], [80]. In our candidate unknown set, wideband noise may resemble overdrive intermodulation regrowth, and intermittent bursts can resemble other pulsed sources. These are unknown candidates, not members of the eight known classes; their final generator definitions must keep the evaluation families distinct. AUROC alone hides the operating point, so OSCR [81] and the false-positive rate at 95% true-positive rate are reported alongside it. Thresholds and score parameters must never be tuned on the test unknowns. Define known-class acceptance as the positive outcome: FPR95 is then the fraction of unknowns accepted at a threshold giving 95% known acceptance. Report separately whether that threshold is selected on known validation data (an operational estimate) or swept on the test set (a descriptive benchmark). The current frozen known-only calibration protocol uses no surrogate unknowns. Any later outlier-exposure experiment must be a separately versioned protocol: its auxiliary outlier families must be disjoint from validation and final unknown families. Semantic novelty and known-class covariate shift must be tested separately.</w:t>
      </w:r>
    </w:p>
    <w:p>
      <w:pPr>
        <w:pStyle w:val="BodyText"/>
      </w:pPr>
      <w:r>
        <w:t>For a training-time Stage B comparison, this review proposes outlier exposure (OE) [93] alongside the post-hoc scores. OE trains against an auxiliary outlier set; it is an additional information regime, so report it separately from known-only training and calibration. Record the auxiliary family definitions, exclusion checks and matched optimization budget. This recommendation does not change the frozen project decision to use known-only calibration and no surrogate unknowns.</w:t>
      </w:r>
    </w:p>
    <w:p>
      <w:pPr>
        <w:pStyle w:val="BodyText"/>
      </w:pPr>
      <w:r>
        <w:t>Compound events raise a separate problem. Interference often co-occurs — a CW carrier during a cross-polar fade, for example — and a single-label classifier will either reject such a frame as unknown or assign it to one component. Prior work handles this with explicit two-interferer coexistence classes [25] or with multi-label open-set heads [90]. This project restricts each frame to one event, states that as a limitation, and treats a multi-label head as an extension.</w:t>
      </w:r>
    </w:p>
    <w:bookmarkEnd w:id="27"/>
    <w:bookmarkStart w:id="31" w:name="evaluation-under-distribution-shift"/>
    <w:p>
      <w:pPr>
        <w:pStyle w:val="Heading2"/>
      </w:pPr>
      <w:r>
        <w:t xml:space="preserve">7. Evaluation under distribution shift</w:t>
      </w:r>
    </w:p>
    <w:p>
      <w:pPr>
        <w:pStyle w:val="FirstParagraph"/>
      </w:pPr>
      <w:r>
        <w:t>A simulator-trained recognizer will meet operating conditions it was not trained on, and the RF literature shows that this matters. Over-the-air RadioML experiments found that models trained in simulation lose accuracy on real captures [41]. Fraunhofer’s GNSS evaluations found that supervised models degrade under discrepancies between controlled and field recordings, and that unsupervised and domain-adaptation methods recover only part of the loss [35]. Embedding-based domain generalization [94] and synthetic-to-real tests of RF vision-language models [95] reach the same conclusion: without calibration or adaptation, performance drops on shifted data.</w:t>
      </w:r>
    </w:p>
    <w:p>
      <w:pPr>
        <w:pStyle w:val="BodyText"/>
      </w:pPr>
      <w:r>
        <w:t xml:space="preserve">Satellite interference studies have only begun to measure this. The TMLCN detectors were tested across modulation orders, bandwidth overlaps and off-axis angles [23], and Agon reports cross-constellation and cross-dataset robustness [24]. The reviewed detection studies do not establish a controlled comparison jointly varying input back-off, transponder bandwidth and multicarrier loading while isolating training with versus without the nonlinear chain. That measurement is contribution C3. It follows the GNSS practice of splitting by condition rather than at random [35]: test sets hold out back-off values and loading levels unseen in training, so that reported numbers measure transfer to held-out conditions. Values held out inside the training range test interpolation; values outside it test extrapolation, and these must be reported separately. A 36 MHz ↔ 72 MHz transfer test checks bandwidth; estimating a trend across bandwidth would need at least three values.</w:t>
      </w:r>
    </w:p>
    <w:bookmarkStart w:id="28" w:name="matched-payload-gap-control-stage-a-p5-0"/>
    <w:p>
      <w:pPr>
        <w:pStyle w:val="Heading3"/>
      </w:pPr>
      <w:r>
        <w:t xml:space="preserve">7.1 Matched payload-gap control (Stage A; P5 §0)</w:t>
      </w:r>
    </w:p>
    <w:p>
      <w:pPr>
        <w:pStyle w:val="FirstParagraph"/>
      </w:pPr>
      <w:r>
        <w:t xml:space="preserve">The common label set is C4 = {clean, cw, swept_cw, unauthorized}. Overdrive is undefined in a linear chain and is excluded from this comparison.</w:t>
      </w:r>
    </w:p>
    <w:tbl>
      <w:tblPr>
        <w:tblStyle w:val="Table"/>
        <w:tblW w:type="pct" w:w="5000"/>
        <w:tblLayout w:type="autofit"/>
        <w:tblLook w:firstRow="1" w:lastRow="0" w:firstColumn="0" w:lastColumn="0" w:noHBand="0" w:noVBand="0" w:val="002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blHeader w:val="true"/>
        </w:trPr>
        <w:tc>
          <w:tcPr>
            <w:shd w:val="clear" w:color="auto" w:fill="E8EDF3"/>
            <w:vAlign w:val="center"/>
          </w:tcPr>
          <w:p>
            <w:pPr>
              <w:pStyle w:val="Compact"/>
              <w:spacing w:after="20"/>
              <w:jc w:val="left"/>
            </w:pPr>
            <w:r>
              <w:rPr>
                <w:b/>
                <w:sz w:val="16"/>
              </w:rPr>
              <w:t xml:space="preserve">Model</w:t>
            </w:r>
          </w:p>
        </w:tc>
        <w:tc>
          <w:tcPr>
            <w:shd w:val="clear" w:color="auto" w:fill="E8EDF3"/>
            <w:vAlign w:val="center"/>
          </w:tcPr>
          <w:p>
            <w:pPr>
              <w:pStyle w:val="Compact"/>
              <w:spacing w:after="20"/>
              <w:jc w:val="left"/>
            </w:pPr>
            <w:r>
              <w:rPr>
                <w:b/>
                <w:sz w:val="16"/>
              </w:rPr>
              <w:t xml:space="preserve">Training chain</w:t>
            </w:r>
          </w:p>
        </w:tc>
        <w:tc>
          <w:tcPr>
            <w:shd w:val="clear" w:color="auto" w:fill="E8EDF3"/>
            <w:vAlign w:val="center"/>
          </w:tcPr>
          <w:p>
            <w:pPr>
              <w:pStyle w:val="Compact"/>
              <w:spacing w:after="20"/>
              <w:jc w:val="left"/>
            </w:pPr>
            <w:r>
              <w:rPr>
                <w:b/>
                <w:sz w:val="16"/>
              </w:rPr>
              <w:t xml:space="preserve">Labels</w:t>
            </w:r>
          </w:p>
        </w:tc>
        <w:tc>
          <w:tcPr>
            <w:shd w:val="clear" w:color="auto" w:fill="E8EDF3"/>
            <w:vAlign w:val="center"/>
          </w:tcPr>
          <w:p>
            <w:pPr>
              <w:pStyle w:val="Compact"/>
              <w:spacing w:after="20"/>
              <w:jc w:val="left"/>
            </w:pPr>
            <w:r>
              <w:rPr>
                <w:b/>
                <w:sz w:val="16"/>
              </w:rPr>
              <w:t xml:space="preserve">Role</w:t>
            </w:r>
          </w:p>
        </w:tc>
      </w:tr>
      <w:tr>
        <w:tc>
          <w:tcPr>
            <w:vAlign w:val="center"/>
          </w:tcPr>
          <w:p>
            <w:pPr>
              <w:pStyle w:val="Compact"/>
              <w:spacing w:after="20"/>
              <w:jc w:val="left"/>
            </w:pPr>
            <w:r>
              <w:rPr>
                <w:sz w:val="16"/>
              </w:rPr>
              <w:t xml:space="preserve">M-lin</w:t>
            </w:r>
          </w:p>
        </w:tc>
        <w:tc>
          <w:tcPr>
            <w:vAlign w:val="center"/>
          </w:tcPr>
          <w:p>
            <w:pPr>
              <w:pStyle w:val="Compact"/>
              <w:spacing w:after="20"/>
              <w:jc w:val="left"/>
            </w:pPr>
            <w:r>
              <w:rPr>
                <w:sz w:val="16"/>
              </w:rPr>
              <w:t xml:space="preserve">Linear</w:t>
            </w:r>
          </w:p>
        </w:tc>
        <w:tc>
          <w:tcPr>
            <w:vAlign w:val="center"/>
          </w:tcPr>
          <w:p>
            <w:pPr>
              <w:pStyle w:val="Compact"/>
              <w:spacing w:after="20"/>
              <w:jc w:val="left"/>
            </w:pPr>
            <w:r>
              <w:rPr>
                <w:sz w:val="16"/>
              </w:rPr>
              <w:t xml:space="preserve">C4</w:t>
            </w:r>
          </w:p>
        </w:tc>
        <w:tc>
          <w:tcPr>
            <w:vAlign w:val="center"/>
          </w:tcPr>
          <w:p>
            <w:pPr>
              <w:pStyle w:val="Compact"/>
              <w:spacing w:after="20"/>
              <w:jc w:val="left"/>
            </w:pPr>
            <w:r>
              <w:rPr>
                <w:sz w:val="16"/>
              </w:rPr>
              <w:t xml:space="preserve">Matched control without nonlinear payload training</w:t>
            </w:r>
          </w:p>
        </w:tc>
      </w:tr>
      <w:tr>
        <w:tc>
          <w:tcPr>
            <w:vAlign w:val="center"/>
          </w:tcPr>
          <w:p>
            <w:pPr>
              <w:pStyle w:val="Compact"/>
              <w:spacing w:after="20"/>
              <w:jc w:val="left"/>
            </w:pPr>
            <w:r>
              <w:rPr>
                <w:sz w:val="16"/>
              </w:rPr>
              <w:t xml:space="preserve">M-nl4</w:t>
            </w:r>
          </w:p>
        </w:tc>
        <w:tc>
          <w:tcPr>
            <w:vAlign w:val="center"/>
          </w:tcPr>
          <w:p>
            <w:pPr>
              <w:pStyle w:val="Compact"/>
              <w:spacing w:after="20"/>
              <w:jc w:val="left"/>
            </w:pPr>
            <w:r>
              <w:rPr>
                <w:sz w:val="16"/>
              </w:rPr>
              <w:t xml:space="preserve">Nonlinear</w:t>
            </w:r>
          </w:p>
        </w:tc>
        <w:tc>
          <w:tcPr>
            <w:vAlign w:val="center"/>
          </w:tcPr>
          <w:p>
            <w:pPr>
              <w:pStyle w:val="Compact"/>
              <w:spacing w:after="20"/>
              <w:jc w:val="left"/>
            </w:pPr>
            <w:r>
              <w:rPr>
                <w:sz w:val="16"/>
              </w:rPr>
              <w:t xml:space="preserve">C4</w:t>
            </w:r>
          </w:p>
        </w:tc>
        <w:tc>
          <w:tcPr>
            <w:vAlign w:val="center"/>
          </w:tcPr>
          <w:p>
            <w:pPr>
              <w:pStyle w:val="Compact"/>
              <w:spacing w:after="20"/>
              <w:jc w:val="left"/>
            </w:pPr>
            <w:r>
              <w:rPr>
                <w:sz w:val="16"/>
              </w:rPr>
              <w:t xml:space="preserve">Matched control with nonlinear payload training</w:t>
            </w:r>
          </w:p>
        </w:tc>
      </w:tr>
      <w:tr>
        <w:tc>
          <w:tcPr>
            <w:vAlign w:val="center"/>
          </w:tcPr>
          <w:p>
            <w:pPr>
              <w:pStyle w:val="Compact"/>
              <w:spacing w:after="20"/>
              <w:jc w:val="left"/>
            </w:pPr>
            <w:r>
              <w:rPr>
                <w:sz w:val="16"/>
              </w:rPr>
              <w:t xml:space="preserve">M-nl5</w:t>
            </w:r>
          </w:p>
        </w:tc>
        <w:tc>
          <w:tcPr>
            <w:vAlign w:val="center"/>
          </w:tcPr>
          <w:p>
            <w:pPr>
              <w:pStyle w:val="Compact"/>
              <w:spacing w:after="20"/>
              <w:jc w:val="left"/>
            </w:pPr>
            <w:r>
              <w:rPr>
                <w:sz w:val="16"/>
              </w:rPr>
              <w:t xml:space="preserve">Nonlinear</w:t>
            </w:r>
          </w:p>
        </w:tc>
        <w:tc>
          <w:tcPr>
            <w:vAlign w:val="center"/>
          </w:tcPr>
          <w:p>
            <w:pPr>
              <w:pStyle w:val="Compact"/>
              <w:spacing w:after="20"/>
              <w:jc w:val="left"/>
            </w:pPr>
            <w:r>
              <w:rPr>
                <w:sz w:val="16"/>
              </w:rPr>
              <w:t xml:space="preserve">C4 ∪ {overdrive}</w:t>
            </w:r>
          </w:p>
        </w:tc>
        <w:tc>
          <w:tcPr>
            <w:vAlign w:val="center"/>
          </w:tcPr>
          <w:p>
            <w:pPr>
              <w:pStyle w:val="Compact"/>
              <w:spacing w:after="20"/>
              <w:jc w:val="left"/>
            </w:pPr>
            <w:r>
              <w:rPr>
                <w:sz w:val="16"/>
              </w:rPr>
              <w:t xml:space="preserve">Five-class Stage A task, evaluated separately</w:t>
            </w:r>
          </w:p>
        </w:tc>
      </w:tr>
    </w:tbl>
    <w:p>
      <w:pPr>
        <w:pStyle w:val="BodyText"/>
      </w:pPr>
      <w:r>
        <w:t xml:space="preserve">For a higher-is-better metric on the same nonlinear four-class test subset D^nl_{ω,C4},</w:t>
      </w:r>
    </w:p>
    <w:p>
      <w:pPr>
        <w:pStyle w:val="BodyText"/>
      </w:pPr>
      <m:oMathPara>
        <m:oMathParaPr>
          <m:jc m:val="center"/>
        </m:oMathParaPr>
        <m:oMath>
          <m:sSubSup>
            <m:e>
              <m:r>
                <m:t>Δ</m:t>
              </m:r>
            </m:e>
            <m:sub>
              <m:r>
                <m:rPr>
                  <m:sty m:val="p"/>
                </m:rPr>
                <m:t>p</m:t>
              </m:r>
              <m:r>
                <m:rPr>
                  <m:sty m:val="p"/>
                </m:rPr>
                <m:t>a</m:t>
              </m:r>
              <m:r>
                <m:rPr>
                  <m:sty m:val="p"/>
                </m:rPr>
                <m:t>y</m:t>
              </m:r>
              <m:r>
                <m:rPr>
                  <m:sty m:val="p"/>
                </m:rPr>
                <m:t>l</m:t>
              </m:r>
              <m:r>
                <m:rPr>
                  <m:sty m:val="p"/>
                </m:rPr>
                <m:t>o</m:t>
              </m:r>
              <m:r>
                <m:rPr>
                  <m:sty m:val="p"/>
                </m:rPr>
                <m:t>a</m:t>
              </m:r>
              <m:r>
                <m:rPr>
                  <m:sty m:val="p"/>
                </m:rPr>
                <m:t>d</m:t>
              </m:r>
            </m:sub>
            <m:sup>
              <m:d>
                <m:dPr>
                  <m:begChr m:val="("/>
                  <m:endChr m:val=")"/>
                  <m:sepChr m:val=""/>
                  <m:grow/>
                </m:dPr>
                <m:e>
                  <m:r>
                    <m:t>4</m:t>
                  </m:r>
                </m:e>
              </m:d>
            </m:sup>
          </m:sSubSup>
          <m:d>
            <m:dPr>
              <m:begChr m:val="("/>
              <m:endChr m:val=")"/>
              <m:sepChr m:val=""/>
              <m:grow/>
            </m:dPr>
            <m:e>
              <m:r>
                <m:t>ω</m:t>
              </m:r>
            </m:e>
          </m:d>
          <m:r>
            <m:rPr>
              <m:sty m:val="p"/>
            </m:rPr>
            <m:t>=</m:t>
          </m:r>
          <m:r>
            <m:rPr>
              <m:sty m:val="p"/>
              <m:scr m:val="script"/>
            </m:rPr>
            <m:t>M</m:t>
          </m:r>
          <m:d>
            <m:dPr>
              <m:begChr m:val="("/>
              <m:endChr m:val=")"/>
              <m:sepChr m:val=""/>
              <m:grow/>
            </m:dPr>
            <m:e>
              <m:r>
                <m:t>M</m:t>
              </m:r>
              <m:r>
                <m:rPr>
                  <m:nor/>
                  <m:sty m:val="p"/>
                </m:rPr>
                <m:t>-</m:t>
              </m:r>
              <m:r>
                <m:t>n</m:t>
              </m:r>
              <m:r>
                <m:t>l</m:t>
              </m:r>
              <m:r>
                <m:t>4</m:t>
              </m:r>
              <m:r>
                <m:rPr>
                  <m:sty m:val="p"/>
                </m:rPr>
                <m:t>;</m:t>
              </m:r>
              <m:sSubSup>
                <m:e>
                  <m:r>
                    <m:rPr>
                      <m:sty m:val="p"/>
                      <m:scr m:val="script"/>
                    </m:rPr>
                    <m:t>D</m:t>
                  </m:r>
                </m:e>
                <m:sub>
                  <m:r>
                    <m:t>ω</m:t>
                  </m:r>
                  <m:r>
                    <m:rPr>
                      <m:sty m:val="p"/>
                    </m:rPr>
                    <m:t>,</m:t>
                  </m:r>
                  <m:r>
                    <m:t>C</m:t>
                  </m:r>
                  <m:r>
                    <m:t>4</m:t>
                  </m:r>
                </m:sub>
                <m:sup>
                  <m:r>
                    <m:t>n</m:t>
                  </m:r>
                  <m:r>
                    <m:t>l</m:t>
                  </m:r>
                </m:sup>
              </m:sSubSup>
            </m:e>
          </m:d>
          <m:r>
            <m:rPr>
              <m:sty m:val="p"/>
            </m:rPr>
            <m:t>−</m:t>
          </m:r>
          <m:r>
            <m:rPr>
              <m:sty m:val="p"/>
              <m:scr m:val="script"/>
            </m:rPr>
            <m:t>M</m:t>
          </m:r>
          <m:d>
            <m:dPr>
              <m:begChr m:val="("/>
              <m:endChr m:val=")"/>
              <m:sepChr m:val=""/>
              <m:grow/>
            </m:dPr>
            <m:e>
              <m:r>
                <m:t>M</m:t>
              </m:r>
              <m:r>
                <m:rPr>
                  <m:nor/>
                  <m:sty m:val="p"/>
                </m:rPr>
                <m:t>-</m:t>
              </m:r>
              <m:r>
                <m:t>l</m:t>
              </m:r>
              <m:r>
                <m:t>i</m:t>
              </m:r>
              <m:r>
                <m:t>n</m:t>
              </m:r>
              <m:r>
                <m:rPr>
                  <m:sty m:val="p"/>
                </m:rPr>
                <m:t>;</m:t>
              </m:r>
              <m:sSubSup>
                <m:e>
                  <m:r>
                    <m:rPr>
                      <m:sty m:val="p"/>
                      <m:scr m:val="script"/>
                    </m:rPr>
                    <m:t>D</m:t>
                  </m:r>
                </m:e>
                <m:sub>
                  <m:r>
                    <m:t>ω</m:t>
                  </m:r>
                  <m:r>
                    <m:rPr>
                      <m:sty m:val="p"/>
                    </m:rPr>
                    <m:t>,</m:t>
                  </m:r>
                  <m:r>
                    <m:t>C</m:t>
                  </m:r>
                  <m:r>
                    <m:t>4</m:t>
                  </m:r>
                </m:sub>
                <m:sup>
                  <m:r>
                    <m:t>n</m:t>
                  </m:r>
                  <m:r>
                    <m:t>l</m:t>
                  </m:r>
                </m:sup>
              </m:sSubSup>
            </m:e>
          </m:d>
          <m:r>
            <m:rPr>
              <m:sty m:val="p"/>
            </m:rPr>
            <m:t>,</m:t>
          </m:r>
          <m:r>
            <m:t>  </m:t>
          </m:r>
          <m:sSub>
            <m:e>
              <m:r>
                <m:t>G</m:t>
              </m:r>
            </m:e>
            <m:sub>
              <m:r>
                <m:t>4</m:t>
              </m:r>
            </m:sub>
          </m:sSub>
          <m:d>
            <m:dPr>
              <m:begChr m:val="("/>
              <m:endChr m:val=")"/>
              <m:sepChr m:val=""/>
              <m:grow/>
            </m:dPr>
            <m:e>
              <m:r>
                <m:t>ω</m:t>
              </m:r>
            </m:e>
          </m:d>
          <m:r>
            <m:rPr>
              <m:sty m:val="p"/>
            </m:rPr>
            <m:t>=</m:t>
          </m:r>
          <m:r>
            <m:rPr>
              <m:sty m:val="p"/>
              <m:scr m:val="script"/>
            </m:rPr>
            <m:t>M</m:t>
          </m:r>
          <m:d>
            <m:dPr>
              <m:begChr m:val="("/>
              <m:endChr m:val=")"/>
              <m:sepChr m:val=""/>
              <m:grow/>
            </m:dPr>
            <m:e>
              <m:r>
                <m:t>M</m:t>
              </m:r>
              <m:r>
                <m:rPr>
                  <m:nor/>
                  <m:sty m:val="p"/>
                </m:rPr>
                <m:t>-</m:t>
              </m:r>
              <m:r>
                <m:t>n</m:t>
              </m:r>
              <m:r>
                <m:t>l</m:t>
              </m:r>
              <m:r>
                <m:t>4</m:t>
              </m:r>
              <m:r>
                <m:rPr>
                  <m:sty m:val="p"/>
                </m:rPr>
                <m:t>;</m:t>
              </m:r>
              <m:sSubSup>
                <m:e>
                  <m:r>
                    <m:rPr>
                      <m:sty m:val="p"/>
                      <m:scr m:val="script"/>
                    </m:rPr>
                    <m:t>D</m:t>
                  </m:r>
                </m:e>
                <m:sub>
                  <m:r>
                    <m:t>ω</m:t>
                  </m:r>
                  <m:r>
                    <m:rPr>
                      <m:sty m:val="p"/>
                    </m:rPr>
                    <m:t>,</m:t>
                  </m:r>
                  <m:r>
                    <m:t>C</m:t>
                  </m:r>
                  <m:r>
                    <m:t>4</m:t>
                  </m:r>
                </m:sub>
                <m:sup>
                  <m:r>
                    <m:t>n</m:t>
                  </m:r>
                  <m:r>
                    <m:t>l</m:t>
                  </m:r>
                </m:sup>
              </m:sSubSup>
            </m:e>
          </m:d>
          <m:r>
            <m:rPr>
              <m:sty m:val="p"/>
            </m:rPr>
            <m:t>.</m:t>
          </m:r>
        </m:oMath>
      </m:oMathPara>
    </w:p>
    <w:p>
      <w:pPr>
        <w:pStyle w:val="FirstParagraph"/>
      </w:pPr>
      <w:r>
        <w:t xml:space="preserve">If the stored</w:t>
      </w:r>
      <w:r>
        <w:t xml:space="preserve"> </w:t>
      </w:r>
      <w:r>
        <w:rPr>
          <w:rStyle w:val="VerbatimChar"/>
        </w:rPr>
        <w:t xml:space="preserve">test_id_nl</w:t>
      </w:r>
      <w:r>
        <w:t xml:space="preserve"> </w:t>
      </w:r>
      <w:r>
        <w:t xml:space="preserve">split contains five classes, filter both evaluations to C4 before computing the gap. Match architecture, class priors, training settings, scenario seeds, waveform realizations and preprocessing; linear/nonlinear pairs share a scenario within the same partition, never across training and test. Do not subtract M-lin’s four-class macro-F1 from M-nl5’s five-class macro-F1. M-lin’s predictions on overdrive can be reported separately as an out-of-support confusion diagnostic; M-nl5 has its own five-class confusion and shift results. Clean-scene false alarms and overdrive misattribution are distinct quantities.</w:t>
      </w:r>
    </w:p>
    <w:p>
      <w:pPr>
        <w:pStyle w:val="BodyText"/>
      </w:pPr>
      <w:r>
        <w:t>Level normalization and the overdrive class. Internal Stage A notes describe a 367-example pilot and report separability of some overdrive and linear/nonlinear operating conditions from absolute-level cues. Those values are reported, not reproduced here; they are not independent evidence of recognition performance. An uncalibrated absolute power feature can leak a simulator-specific drive label, whereas per-frame carrier-relative transforms change what level information remains available. Consequently the matched C4 comparison must use the same train-fitted and frozen preprocessing convention, and the five-class M-nl5 overdrive task must be evaluated separately. Changing a normalization rule constitutes a protocol change that must be declared before new trials rather than silently absorbing a post-hoc pilot adjustment.</w:t>
      </w:r>
    </w:p>
    <w:p>
      <w:pPr>
        <w:pStyle w:val="BodyText"/>
      </w:pPr>
      <w:r>
        <w:t xml:space="preserve">The gap measures a simulator-internal training benefit. Evaluate its persistence on a different amplifier model or measured-PA surrogate with a declared operating range. For higher-is-better metrics, G4 may decrease away from training support, while the gap’s sign and trend remain empirical. For error metrics, reverse the improvement convention explicitly. Use distance to the training IBO support when training spans a range.</w:t>
      </w:r>
    </w:p>
    <w:bookmarkEnd w:id="28"/>
    <w:bookmarkStart w:id="29" w:name="proposed-observability-ablations-stage-b"/>
    <w:p>
      <w:pPr>
        <w:pStyle w:val="Heading3"/>
      </w:pPr>
      <w:r>
        <w:t xml:space="preserve">7.2 Proposed observability ablations (Stage B)</w:t>
      </w:r>
    </w:p>
    <w:p>
      <w:pPr>
        <w:pStyle w:val="FirstParagraph"/>
      </w:pPr>
      <w:r>
        <w:t xml:space="preserve">These are an explicit future protocol, not completed Stage A results. Keep scenario partitions, label definitions, encoder capacity as closely matched as feasible, optimization budget and training seeds fixed; retrain each input ablation. Fit every variant’s threshold on the same permitted known validation protocol, then freeze it. Report paired scenario-bootstrap differences and per-class confusion, not just pooled accuracy.</w:t>
      </w:r>
    </w:p>
    <w:tbl>
      <w:tblPr>
        <w:tblStyle w:val="Table"/>
        <w:tblW w:type="pct" w:w="5000"/>
        <w:tblLayout w:type="autofit"/>
        <w:tblLook w:firstRow="1" w:lastRow="0" w:firstColumn="0" w:lastColumn="0" w:noHBand="0" w:noVBand="0" w:val="002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blHeader w:val="true"/>
        </w:trPr>
        <w:tc>
          <w:tcPr>
            <w:shd w:val="clear" w:color="auto" w:fill="E8EDF3"/>
            <w:vAlign w:val="center"/>
          </w:tcPr>
          <w:p>
            <w:pPr>
              <w:pStyle w:val="Compact"/>
              <w:spacing w:after="20"/>
              <w:jc w:val="left"/>
            </w:pPr>
            <w:r>
              <w:rPr>
                <w:b/>
                <w:sz w:val="16"/>
              </w:rPr>
              <w:t xml:space="preserve">Contrast</w:t>
            </w:r>
          </w:p>
        </w:tc>
        <w:tc>
          <w:tcPr>
            <w:shd w:val="clear" w:color="auto" w:fill="E8EDF3"/>
            <w:vAlign w:val="center"/>
          </w:tcPr>
          <w:p>
            <w:pPr>
              <w:pStyle w:val="Compact"/>
              <w:spacing w:after="20"/>
              <w:jc w:val="left"/>
            </w:pPr>
            <w:r>
              <w:rPr>
                <w:b/>
                <w:sz w:val="16"/>
              </w:rPr>
              <w:t xml:space="preserve">Test of Table 1 hypothesis</w:t>
            </w:r>
          </w:p>
        </w:tc>
        <w:tc>
          <w:tcPr>
            <w:shd w:val="clear" w:color="auto" w:fill="E8EDF3"/>
            <w:vAlign w:val="center"/>
          </w:tcPr>
          <w:p>
            <w:pPr>
              <w:pStyle w:val="Compact"/>
              <w:spacing w:after="20"/>
              <w:jc w:val="left"/>
            </w:pPr>
            <w:r>
              <w:rPr>
                <w:b/>
                <w:sz w:val="16"/>
              </w:rPr>
              <w:t xml:space="preserve">Main outputs</w:t>
            </w:r>
          </w:p>
        </w:tc>
      </w:tr>
      <w:tr>
        <w:tc>
          <w:tcPr>
            <w:vAlign w:val="center"/>
          </w:tcPr>
          <w:p>
            <w:pPr>
              <w:pStyle w:val="Compact"/>
              <w:spacing w:after="20"/>
              <w:jc w:val="left"/>
            </w:pPr>
            <w:r>
              <w:rPr>
                <w:sz w:val="16"/>
              </w:rPr>
              <w:t xml:space="preserve">Full input vs no opposite-polarization input</w:t>
            </w:r>
          </w:p>
        </w:tc>
        <w:tc>
          <w:tcPr>
            <w:vAlign w:val="center"/>
          </w:tcPr>
          <w:p>
            <w:pPr>
              <w:pStyle w:val="Compact"/>
              <w:spacing w:after="20"/>
              <w:jc w:val="left"/>
            </w:pPr>
            <w:r>
              <w:rPr>
                <w:sz w:val="16"/>
              </w:rPr>
              <w:t xml:space="preserve">Incremental information for cross-pol leakage</w:t>
            </w:r>
          </w:p>
        </w:tc>
        <w:tc>
          <w:tcPr>
            <w:vAlign w:val="center"/>
          </w:tcPr>
          <w:p>
            <w:pPr>
              <w:pStyle w:val="Compact"/>
              <w:spacing w:after="20"/>
              <w:jc w:val="left"/>
            </w:pPr>
            <w:r>
              <w:rPr>
                <w:sz w:val="16"/>
              </w:rPr>
              <w:t xml:space="preserve">Cross-pol recall, confusion with unplanned carriers, OSCR</w:t>
            </w:r>
          </w:p>
        </w:tc>
      </w:tr>
      <w:tr>
        <w:tc>
          <w:tcPr>
            <w:vAlign w:val="center"/>
          </w:tcPr>
          <w:p>
            <w:pPr>
              <w:pStyle w:val="Compact"/>
              <w:spacing w:after="20"/>
              <w:jc w:val="left"/>
            </w:pPr>
            <w:r>
              <w:rPr>
                <w:sz w:val="16"/>
              </w:rPr>
              <w:t xml:space="preserve">Full input vs no carrier plan</w:t>
            </w:r>
          </w:p>
        </w:tc>
        <w:tc>
          <w:tcPr>
            <w:vAlign w:val="center"/>
          </w:tcPr>
          <w:p>
            <w:pPr>
              <w:pStyle w:val="Compact"/>
              <w:spacing w:after="20"/>
              <w:jc w:val="left"/>
            </w:pPr>
            <w:r>
              <w:rPr>
                <w:sz w:val="16"/>
              </w:rPr>
              <w:t xml:space="preserve">Value of occupancy and predicted mixing locations</w:t>
            </w:r>
          </w:p>
        </w:tc>
        <w:tc>
          <w:tcPr>
            <w:vAlign w:val="center"/>
          </w:tcPr>
          <w:p>
            <w:pPr>
              <w:pStyle w:val="Compact"/>
              <w:spacing w:after="20"/>
              <w:jc w:val="left"/>
            </w:pPr>
            <w:r>
              <w:rPr>
                <w:sz w:val="16"/>
              </w:rPr>
              <w:t xml:space="preserve">Per-class macro-F1; CW/unauthorized/overdrive confusion</w:t>
            </w:r>
          </w:p>
        </w:tc>
      </w:tr>
      <w:tr>
        <w:tc>
          <w:tcPr>
            <w:vAlign w:val="center"/>
          </w:tcPr>
          <w:p>
            <w:pPr>
              <w:pStyle w:val="Compact"/>
              <w:spacing w:after="20"/>
              <w:jc w:val="left"/>
            </w:pPr>
            <w:r>
              <w:rPr>
                <w:sz w:val="16"/>
              </w:rPr>
              <w:t xml:space="preserve">Correct plan vs shifted, missing or extra carriers</w:t>
            </w:r>
          </w:p>
        </w:tc>
        <w:tc>
          <w:tcPr>
            <w:vAlign w:val="center"/>
          </w:tcPr>
          <w:p>
            <w:pPr>
              <w:pStyle w:val="Compact"/>
              <w:spacing w:after="20"/>
              <w:jc w:val="left"/>
            </w:pPr>
            <w:r>
              <w:rPr>
                <w:sz w:val="16"/>
              </w:rPr>
              <w:t xml:space="preserve">Robustness to stale metadata</w:t>
            </w:r>
          </w:p>
        </w:tc>
        <w:tc>
          <w:tcPr>
            <w:vAlign w:val="center"/>
          </w:tcPr>
          <w:p>
            <w:pPr>
              <w:pStyle w:val="Compact"/>
              <w:spacing w:after="20"/>
              <w:jc w:val="left"/>
            </w:pPr>
            <w:r>
              <w:rPr>
                <w:sz w:val="16"/>
              </w:rPr>
              <w:t xml:space="preserve">Performance vs declared plan error; clean false alarms</w:t>
            </w:r>
          </w:p>
        </w:tc>
      </w:tr>
      <w:tr>
        <w:tc>
          <w:tcPr>
            <w:vAlign w:val="center"/>
          </w:tcPr>
          <w:p>
            <w:pPr>
              <w:pStyle w:val="Compact"/>
              <w:spacing w:after="20"/>
              <w:jc w:val="left"/>
            </w:pPr>
            <w:r>
              <w:rPr>
                <w:sz w:val="16"/>
              </w:rPr>
              <w:t xml:space="preserve">Host-cancellation residual vs residual + SCF, with an optional SCF-only branch</w:t>
            </w:r>
          </w:p>
        </w:tc>
        <w:tc>
          <w:tcPr>
            <w:vAlign w:val="center"/>
          </w:tcPr>
          <w:p>
            <w:pPr>
              <w:pStyle w:val="Compact"/>
              <w:spacing w:after="20"/>
              <w:jc w:val="left"/>
            </w:pPr>
            <w:r>
              <w:rPr>
                <w:sz w:val="16"/>
              </w:rPr>
              <w:t xml:space="preserve">Incremental cyclic evidence for carrier-under-carrier</w:t>
            </w:r>
          </w:p>
        </w:tc>
        <w:tc>
          <w:tcPr>
            <w:vAlign w:val="center"/>
          </w:tcPr>
          <w:p>
            <w:pPr>
              <w:pStyle w:val="Compact"/>
              <w:spacing w:after="20"/>
              <w:jc w:val="left"/>
            </w:pPr>
            <w:r>
              <w:rPr>
                <w:sz w:val="16"/>
              </w:rPr>
              <w:t xml:space="preserve">Detection vs C/I and symbol-rate relation; latency</w:t>
            </w:r>
          </w:p>
        </w:tc>
      </w:tr>
      <w:tr>
        <w:tc>
          <w:tcPr>
            <w:vAlign w:val="center"/>
          </w:tcPr>
          <w:p>
            <w:pPr>
              <w:pStyle w:val="Compact"/>
              <w:spacing w:after="20"/>
              <w:jc w:val="left"/>
            </w:pPr>
            <w:r>
              <w:rPr>
                <w:sz w:val="16"/>
              </w:rPr>
              <w:t xml:space="preserve">Ordered time axis vs a separately trained time-averaged spectrum model</w:t>
            </w:r>
          </w:p>
        </w:tc>
        <w:tc>
          <w:tcPr>
            <w:vAlign w:val="center"/>
          </w:tcPr>
          <w:p>
            <w:pPr>
              <w:pStyle w:val="Compact"/>
              <w:spacing w:after="20"/>
              <w:jc w:val="left"/>
            </w:pPr>
            <w:r>
              <w:rPr>
                <w:sz w:val="16"/>
              </w:rPr>
              <w:t xml:space="preserve">Information from temporal evolution</w:t>
            </w:r>
          </w:p>
        </w:tc>
        <w:tc>
          <w:tcPr>
            <w:vAlign w:val="center"/>
          </w:tcPr>
          <w:p>
            <w:pPr>
              <w:pStyle w:val="Compact"/>
              <w:spacing w:after="20"/>
              <w:jc w:val="left"/>
            </w:pPr>
            <w:r>
              <w:rPr>
                <w:sz w:val="16"/>
              </w:rPr>
              <w:t xml:space="preserve">Swept-CW and candidate-burst detection</w:t>
            </w:r>
          </w:p>
        </w:tc>
      </w:tr>
      <w:tr>
        <w:tc>
          <w:tcPr>
            <w:vAlign w:val="center"/>
          </w:tcPr>
          <w:p>
            <w:pPr>
              <w:pStyle w:val="Compact"/>
              <w:spacing w:after="20"/>
              <w:jc w:val="left"/>
            </w:pPr>
            <w:r>
              <w:rPr>
                <w:sz w:val="16"/>
              </w:rPr>
              <w:t xml:space="preserve">Post-hoc known-only scores vs separately versioned OE</w:t>
            </w:r>
          </w:p>
        </w:tc>
        <w:tc>
          <w:tcPr>
            <w:vAlign w:val="center"/>
          </w:tcPr>
          <w:p>
            <w:pPr>
              <w:pStyle w:val="Compact"/>
              <w:spacing w:after="20"/>
              <w:jc w:val="left"/>
            </w:pPr>
            <w:r>
              <w:rPr>
                <w:sz w:val="16"/>
              </w:rPr>
              <w:t xml:space="preserve">Benefit and information cost of training-time rejection</w:t>
            </w:r>
          </w:p>
        </w:tc>
        <w:tc>
          <w:tcPr>
            <w:vAlign w:val="center"/>
          </w:tcPr>
          <w:p>
            <w:pPr>
              <w:pStyle w:val="Compact"/>
              <w:spacing w:after="20"/>
              <w:jc w:val="left"/>
            </w:pPr>
            <w:r>
              <w:rPr>
                <w:sz w:val="16"/>
              </w:rPr>
              <w:t xml:space="preserve">Known macro-F1, per-unknown-family AUROC/OSCR, FPR95</w:t>
            </w:r>
          </w:p>
        </w:tc>
      </w:tr>
    </w:tbl>
    <w:p>
      <w:pPr>
        <w:pStyle w:val="BodyText"/>
      </w:pPr>
      <w:r>
        <w:t>Use synchronized dual-polarization IQ for XPIC and a declared host-information assumption for cancellation. SCF estimation needs contiguous IQ of adequate duration; it must not treat gaps between Stage A snapshots as contiguous samples. Unmatched side-information access must be reported, not attributed to model architecture. If OE’s disjoint auxiliary families cannot be ensured, omit that experiment rather than using final unknowns for training. P20 host cancellation is observation-based and can use only monitored co-polar IQ and permitted operator-plan quantities; transmitted symbols, realized IBO, event labels and oracle cancellation terms are excluded. Plan corruption requires physically consistent receiver-level perturbations and a separate mask-only control.</w:t>
      </w:r>
    </w:p>
    <w:bookmarkEnd w:id="29"/>
    <w:bookmarkStart w:id="30" w:name="splits-metrics-and-external-checks"/>
    <w:p>
      <w:pPr>
        <w:pStyle w:val="Heading3"/>
      </w:pPr>
      <w:r>
        <w:t xml:space="preserve">7.3 Splits, metrics and external checks</w:t>
      </w:r>
    </w:p>
    <w:p>
      <w:pPr>
        <w:pStyle w:val="FirstParagraph"/>
      </w:pPr>
      <w:r>
        <w:t>Random splits of simulated RF data also invite leakage. If scenario realizations, overlapping windows or parent captures cross the train/test boundary, a model can exploit scenario-specific shortcuts. Learning preprocessing from evaluation data is a separate leakage risk; reusing frozen training-derived statistics for test transformation is the intended procedure. Split by scenario and recording before creating overlapping windows; keep plans, payload instances, parent captures and derived windows grouped. Use independent random streams across partitions, with deliberately shared condition values only where the protocol calls for them. Fit dataset-level normalization and feature transforms on training data only, then freeze them for validation and test [96]; [97] gives the software implementation guidance. Do not fit a separate scaler on each partition. The Stage A model specification (P6) instead uses a fixed per-frame carrier-relative transform computable from the observed frame and plan, which removes absolute level (Section 7.1); that is not a scaler fitted on the test partition. Its absolute-level alternative uses a training-only reference and is a separate ablation. Report results over multiple training seeds with scenario-level uncertainty estimates; adjacent windows are not independent replicates.</w:t>
      </w:r>
    </w:p>
    <w:p>
      <w:pPr>
        <w:pStyle w:val="BodyText"/>
      </w:pPr>
      <w:r>
        <w:t>The metrics follow from the operator’s use. Detection probability at a fixed false-alarm rate, plotted against interference power (INR or ISNR), is the standard figure of merit in the detection literature [8], [9], [23]; this project plots it against C/I, where INR_dB = CNR_dB − (C/I)_dB for powers integrated over the same bandwidth at the same reference plane. This conversion is not valid across mismatched integration bandwidths or before/after-payload reference planes. Macro-F1 on known classes, AUROC and OSCR [81] on unknowns, and binned expected calibration error cover recognition and rejection. Parameter count, FLOPs and per-frame latency matter because monitoring systems sweep many carriers continuously — vendor monitoring claims emphasize carrier-sweep throughput [16] (commercial claim; numerical rate not verified here) — and because compact models are known to suffice for interference tasks [28], [48]. Stage A includes CA-CFAR and plan-aware CA-CFAR. Proposed Stage B comparisons include expert spectral/cyclic features with gradient boosting [11], [98], host-cancellation residual detection [8], XPIC [68] and a TrID-type detector [23]. Liu et al. [99] provide an additional sequential-detection precedent: CUSUM with known direction and GLR with Root-MUSIC direction estimation during idle intervals in satellite-to-device links. Its array and idle-interval assumptions differ from this monitor; it is related work rather than a drop-in Stage A baseline. The current E12 decision record defines near-family pooled unknown-positive FPR@95TPR as a primary Stage B analysis target, but that definition alone is not permission to tune an operating threshold using held-out unknowns. D-1 also discloses previously exposed groups in B2-test/1; any future final report must distinguish the 500/150 original group totals from the 498/148 exposure-excluded sensitivity rows, without calling the historical sets pristine.</w:t>
      </w:r>
    </w:p>
    <w:p>
      <w:pPr>
        <w:pStyle w:val="BodyText"/>
      </w:pPr>
      <w:r>
        <w:t xml:space="preserve">For a detection statistic Λ and C known classes, the two headline metrics are</w:t>
      </w:r>
    </w:p>
    <w:p>
      <w:pPr>
        <w:pStyle w:val="BodyText"/>
      </w:pPr>
      <m:oMathPara>
        <m:oMathParaPr>
          <m:jc m:val="center"/>
        </m:oMathParaPr>
        <m:oMath>
          <m:sSub>
            <m:e>
              <m:r>
                <m:t>P</m:t>
              </m:r>
            </m:e>
            <m:sub>
              <m:r>
                <m:rPr>
                  <m:sty m:val="p"/>
                </m:rPr>
                <m:t>D</m:t>
              </m:r>
            </m:sub>
          </m:sSub>
          <m:d>
            <m:dPr>
              <m:begChr m:val="("/>
              <m:endChr m:val=")"/>
              <m:sepChr m:val=""/>
              <m:grow/>
            </m:dPr>
            <m:e>
              <m:sSub>
                <m:e>
                  <m:r>
                    <m:t>P</m:t>
                  </m:r>
                </m:e>
                <m:sub>
                  <m:r>
                    <m:rPr>
                      <m:sty m:val="p"/>
                    </m:rPr>
                    <m:t>F</m:t>
                  </m:r>
                  <m:r>
                    <m:rPr>
                      <m:sty m:val="p"/>
                    </m:rPr>
                    <m:t>A</m:t>
                  </m:r>
                </m:sub>
              </m:sSub>
            </m:e>
          </m:d>
          <m:r>
            <m:rPr>
              <m:sty m:val="p"/>
            </m:rPr>
            <m:t>=</m:t>
          </m:r>
          <m:r>
            <m:rPr>
              <m:sty m:val="p"/>
            </m:rPr>
            <m:t>Pr</m:t>
          </m:r>
          <m:r>
            <m:rPr>
              <m:sty m:val="p"/>
            </m:rPr>
            <m:t>{</m:t>
          </m:r>
          <m:r>
            <m:t>Λ</m:t>
          </m:r>
          <m:r>
            <m:rPr>
              <m:sty m:val="p"/>
            </m:rPr>
            <m:t>&gt;</m:t>
          </m:r>
          <m:r>
            <m:t>γ</m:t>
          </m:r>
          <m:r>
            <m:rPr>
              <m:sty m:val="p"/>
            </m:rPr>
            <m:t>∣</m:t>
          </m:r>
          <m:sSub>
            <m:e>
              <m:r>
                <m:rPr>
                  <m:sty m:val="p"/>
                  <m:scr m:val="script"/>
                </m:rPr>
                <m:t>H</m:t>
              </m:r>
            </m:e>
            <m:sub>
              <m:r>
                <m:t>1</m:t>
              </m:r>
            </m:sub>
          </m:sSub>
          <m:r>
            <m:rPr>
              <m:sty m:val="p"/>
            </m:rPr>
            <m:t>}</m:t>
          </m:r>
          <m:r>
            <m:rPr>
              <m:sty m:val="p"/>
            </m:rPr>
            <m:t>,</m:t>
          </m:r>
          <m:r>
            <m:t>  </m:t>
          </m:r>
          <m:r>
            <m:t>γ</m:t>
          </m:r>
          <m:r>
            <m:rPr>
              <m:sty m:val="p"/>
            </m:rPr>
            <m:t>:</m:t>
          </m:r>
          <m:r>
            <m:rPr>
              <m:sty m:val="p"/>
            </m:rPr>
            <m:t>Pr</m:t>
          </m:r>
          <m:r>
            <m:rPr>
              <m:sty m:val="p"/>
            </m:rPr>
            <m:t>{</m:t>
          </m:r>
          <m:r>
            <m:t>Λ</m:t>
          </m:r>
          <m:r>
            <m:rPr>
              <m:sty m:val="p"/>
            </m:rPr>
            <m:t>&gt;</m:t>
          </m:r>
          <m:r>
            <m:t>γ</m:t>
          </m:r>
          <m:r>
            <m:rPr>
              <m:sty m:val="p"/>
            </m:rPr>
            <m:t>∣</m:t>
          </m:r>
          <m:sSub>
            <m:e>
              <m:r>
                <m:rPr>
                  <m:sty m:val="p"/>
                  <m:scr m:val="script"/>
                </m:rPr>
                <m:t>H</m:t>
              </m:r>
            </m:e>
            <m:sub>
              <m:r>
                <m:t>0</m:t>
              </m:r>
            </m:sub>
          </m:sSub>
          <m:r>
            <m:rPr>
              <m:sty m:val="p"/>
            </m:rPr>
            <m:t>}</m:t>
          </m:r>
          <m:r>
            <m:rPr>
              <m:sty m:val="p"/>
            </m:rPr>
            <m:t>=</m:t>
          </m:r>
          <m:sSub>
            <m:e>
              <m:r>
                <m:t>P</m:t>
              </m:r>
            </m:e>
            <m:sub>
              <m:r>
                <m:rPr>
                  <m:sty m:val="p"/>
                </m:rPr>
                <m:t>F</m:t>
              </m:r>
              <m:r>
                <m:rPr>
                  <m:sty m:val="p"/>
                </m:rPr>
                <m:t>A</m:t>
              </m:r>
            </m:sub>
          </m:sSub>
        </m:oMath>
      </m:oMathPara>
    </w:p>
    <w:p>
      <w:pPr>
        <w:pStyle w:val="FirstParagraph"/>
      </w:pPr>
      <m:oMathPara>
        <m:oMathParaPr>
          <m:jc m:val="center"/>
        </m:oMathParaPr>
        <m:oMath>
          <m:r>
            <m:rPr>
              <m:sty m:val="p"/>
            </m:rPr>
            <m:t>m</m:t>
          </m:r>
          <m:r>
            <m:rPr>
              <m:sty m:val="p"/>
            </m:rPr>
            <m:t>a</m:t>
          </m:r>
          <m:r>
            <m:rPr>
              <m:sty m:val="p"/>
            </m:rPr>
            <m:t>c</m:t>
          </m:r>
          <m:r>
            <m:rPr>
              <m:sty m:val="p"/>
            </m:rPr>
            <m:t>r</m:t>
          </m:r>
          <m:r>
            <m:rPr>
              <m:sty m:val="p"/>
            </m:rPr>
            <m:t>o</m:t>
          </m:r>
          <m:r>
            <m:rPr>
              <m:nor/>
              <m:sty m:val="p"/>
            </m:rPr>
            <m:t>-</m:t>
          </m:r>
          <m:sSub>
            <m:e>
              <m:r>
                <m:rPr>
                  <m:sty m:val="p"/>
                </m:rPr>
                <m:t>F</m:t>
              </m:r>
            </m:e>
            <m:sub>
              <m:r>
                <m:rPr>
                  <m:sty m:val="p"/>
                </m:rPr>
                <m:t>1</m:t>
              </m:r>
            </m:sub>
          </m:sSub>
          <m:r>
            <m:rPr>
              <m:sty m:val="p"/>
            </m:rPr>
            <m:t>=</m:t>
          </m:r>
          <m:f>
            <m:fPr>
              <m:type m:val="bar"/>
            </m:fPr>
            <m:num>
              <m:r>
                <m:t>1</m:t>
              </m:r>
            </m:num>
            <m:den>
              <m:r>
                <m:t>C</m:t>
              </m:r>
            </m:den>
          </m:f>
          <m:nary>
            <m:naryPr>
              <m:chr m:val="∑"/>
              <m:limLoc m:val="undOvr"/>
              <m:subHide m:val="off"/>
              <m:supHide m:val="off"/>
            </m:naryPr>
            <m:sub>
              <m:r>
                <m:t>k</m:t>
              </m:r>
              <m:r>
                <m:rPr>
                  <m:sty m:val="p"/>
                </m:rPr>
                <m:t>=</m:t>
              </m:r>
              <m:r>
                <m:t>1</m:t>
              </m:r>
            </m:sub>
            <m:sup>
              <m:r>
                <m:t>C</m:t>
              </m:r>
            </m:sup>
            <m:e>
              <m:f>
                <m:fPr>
                  <m:type m:val="bar"/>
                </m:fPr>
                <m:num>
                  <m:r>
                    <m:t>2</m:t>
                  </m:r>
                  <m:r>
                    <m:t> </m:t>
                  </m:r>
                  <m:sSub>
                    <m:e>
                      <m:r>
                        <m:rPr>
                          <m:sty m:val="p"/>
                        </m:rPr>
                        <m:t>P</m:t>
                      </m:r>
                      <m:r>
                        <m:rPr>
                          <m:sty m:val="p"/>
                        </m:rPr>
                        <m:t>r</m:t>
                      </m:r>
                      <m:r>
                        <m:rPr>
                          <m:sty m:val="p"/>
                        </m:rPr>
                        <m:t>e</m:t>
                      </m:r>
                      <m:r>
                        <m:rPr>
                          <m:sty m:val="p"/>
                        </m:rPr>
                        <m:t>c</m:t>
                      </m:r>
                    </m:e>
                    <m:sub>
                      <m:r>
                        <m:t>k</m:t>
                      </m:r>
                    </m:sub>
                  </m:sSub>
                  <m:r>
                    <m:t> </m:t>
                  </m:r>
                  <m:sSub>
                    <m:e>
                      <m:r>
                        <m:rPr>
                          <m:sty m:val="p"/>
                        </m:rPr>
                        <m:t>R</m:t>
                      </m:r>
                      <m:r>
                        <m:rPr>
                          <m:sty m:val="p"/>
                        </m:rPr>
                        <m:t>e</m:t>
                      </m:r>
                      <m:r>
                        <m:rPr>
                          <m:sty m:val="p"/>
                        </m:rPr>
                        <m:t>c</m:t>
                      </m:r>
                    </m:e>
                    <m:sub>
                      <m:r>
                        <m:t>k</m:t>
                      </m:r>
                    </m:sub>
                  </m:sSub>
                </m:num>
                <m:den>
                  <m:sSub>
                    <m:e>
                      <m:r>
                        <m:rPr>
                          <m:sty m:val="p"/>
                        </m:rPr>
                        <m:t>P</m:t>
                      </m:r>
                      <m:r>
                        <m:rPr>
                          <m:sty m:val="p"/>
                        </m:rPr>
                        <m:t>r</m:t>
                      </m:r>
                      <m:r>
                        <m:rPr>
                          <m:sty m:val="p"/>
                        </m:rPr>
                        <m:t>e</m:t>
                      </m:r>
                      <m:r>
                        <m:rPr>
                          <m:sty m:val="p"/>
                        </m:rPr>
                        <m:t>c</m:t>
                      </m:r>
                    </m:e>
                    <m:sub>
                      <m:r>
                        <m:t>k</m:t>
                      </m:r>
                    </m:sub>
                  </m:sSub>
                  <m:r>
                    <m:rPr>
                      <m:sty m:val="p"/>
                    </m:rPr>
                    <m:t>+</m:t>
                  </m:r>
                  <m:sSub>
                    <m:e>
                      <m:r>
                        <m:rPr>
                          <m:sty m:val="p"/>
                        </m:rPr>
                        <m:t>R</m:t>
                      </m:r>
                      <m:r>
                        <m:rPr>
                          <m:sty m:val="p"/>
                        </m:rPr>
                        <m:t>e</m:t>
                      </m:r>
                      <m:r>
                        <m:rPr>
                          <m:sty m:val="p"/>
                        </m:rPr>
                        <m:t>c</m:t>
                      </m:r>
                    </m:e>
                    <m:sub>
                      <m:r>
                        <m:t>k</m:t>
                      </m:r>
                    </m:sub>
                  </m:sSub>
                </m:den>
              </m:f>
            </m:e>
          </m:nary>
        </m:oMath>
      </m:oMathPara>
    </w:p>
    <w:p>
      <w:pPr>
        <w:pStyle w:val="FirstParagraph"/>
      </w:pPr>
      <w:r>
        <w:t xml:space="preserve">Macro averaging weights every known class equally, so a model cannot score well by neglecting a hard class such as carrier-under-carrier. Known samples that the open-set stage rejects count as false negatives for recall; set F1 to zero for undefined classwise denominators and report class support. Report closed-set macro-F1 before rejection separately from macro-F1 after rejection. State whether clean is included in C and provide interference-only results as well.</w:t>
      </w:r>
    </w:p>
    <w:p>
      <w:pPr>
        <w:pStyle w:val="BodyText"/>
      </w:pPr>
      <w:r>
        <w:t>Public data can support narrowly matched external checks without substituting for operator-labelled GEO measurements. The SnT on-board and NGSO-to-GSO data [100], [101] can benchmark satellite interference detection but do not independently establish payload-aware mechanism recognition. Fraunhofer GNSS recordings [102], [103] contain real-world interference and can serve as deliberately mismatched external samples, not as GEO ground-truth. The IEEE DataPort Highway Dataset 1 [102] lists four citation authors and states CC BY-NC-SA 4.0 terms in the dataset description; a generic short licence label on its page must not be used to infer commercial reuse rights. TorchSig [44] supports synthetic RF representation studies, OpenDPD [63] supplies an amplifier-mismatch route, and Estévez’s Intelsat 37e IQ recording [104] can provide a nominal-waveform sanity check rather than a labelled interference benchmark. External dataset access, licensing and processing permissions must be resolved before any transfer experiment.</w:t>
      </w:r>
    </w:p>
    <w:bookmarkEnd w:id="30"/>
    <w:bookmarkEnd w:id="31"/>
    <w:bookmarkStart w:id="32" w:name="positioning-of-this-work"/>
    <w:p>
      <w:pPr>
        <w:pStyle w:val="Heading2"/>
      </w:pPr>
      <w:r>
        <w:t xml:space="preserve">8. Positioning of this work</w:t>
      </w:r>
    </w:p>
    <w:p>
      <w:pPr>
        <w:pStyle w:val="FirstParagraph"/>
      </w:pPr>
      <w:r>
        <w:t>The literature contains the pieces of a payload-aware, open-set interference recognizer, but in separate fields that have not been combined. Satellite payload modeling is mature but serves compensation [56], [105], [57], [58]. The cited satellite detection studies [20], [21], [22], [23], [24] do not establish the matched multicarrier payload comparison and observability protocol proposed here. Generic RF open-set work [80], [88] provides methods, while adaptation to this observation chain remains the project’s research question. The table shows where the closest prior work stands on the properties this project targets.</w:t>
      </w:r>
    </w:p>
    <w:p>
      <w:pPr>
        <w:pStyle w:val="BodyText"/>
      </w:pPr>
      <w:r>
        <w:rPr>
          <w:bCs/>
          <w:b/>
        </w:rPr>
        <w:t xml:space="preserve">Table 2.</w:t>
      </w:r>
      <w:r>
        <w:t xml:space="preserve"> </w:t>
      </w:r>
      <w:r>
        <w:t xml:space="preserve">Literature capability comparison and project design scope;</w:t>
      </w:r>
      <w:r>
        <w:t xml:space="preserve"> </w:t>
      </w:r>
      <w:r>
        <w:t xml:space="preserve">“</w:t>
      </w:r>
      <w:r>
        <w:t xml:space="preserve">No</w:t>
      </w:r>
      <w:r>
        <w:t xml:space="preserve">”</w:t>
      </w:r>
      <w:r>
        <w:t xml:space="preserve"> </w:t>
      </w:r>
      <w:r>
        <w:t xml:space="preserve">means not established by this review, not a universal absence claim.</w:t>
      </w:r>
    </w:p>
    <w:tbl>
      <w:tblPr>
        <w:tblStyle w:val="Table"/>
        <w:tblW w:type="pct" w:w="5000"/>
        <w:tblLayout w:type="autofit"/>
        <w:tblLook w:firstRow="1" w:lastRow="0" w:firstColumn="0" w:lastColumn="0" w:noHBand="0" w:noVBand="0" w:val="002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79"/>
        <w:gridCol w:w="879"/>
        <w:gridCol w:w="879"/>
        <w:gridCol w:w="879"/>
        <w:gridCol w:w="879"/>
        <w:gridCol w:w="879"/>
        <w:gridCol w:w="879"/>
        <w:gridCol w:w="879"/>
        <w:gridCol w:w="879"/>
      </w:tblGrid>
      <w:tr>
        <w:trPr>
          <w:tblHeader w:val="true"/>
          <w:tblHeader w:val="true"/>
        </w:trPr>
        <w:tc>
          <w:tcPr>
            <w:shd w:val="clear" w:color="auto" w:fill="E8EDF3"/>
            <w:vAlign w:val="center"/>
          </w:tcPr>
          <w:p>
            <w:pPr>
              <w:pStyle w:val="Compact"/>
              <w:spacing w:after="20"/>
              <w:jc w:val="left"/>
            </w:pPr>
            <w:r>
              <w:rPr>
                <w:b/>
                <w:sz w:val="16"/>
              </w:rPr>
              <w:t xml:space="preserve">Work</w:t>
            </w:r>
          </w:p>
        </w:tc>
        <w:tc>
          <w:tcPr>
            <w:shd w:val="clear" w:color="auto" w:fill="E8EDF3"/>
            <w:vAlign w:val="center"/>
          </w:tcPr>
          <w:p>
            <w:pPr>
              <w:pStyle w:val="Compact"/>
              <w:spacing w:after="20"/>
              <w:jc w:val="left"/>
            </w:pPr>
            <w:r>
              <w:rPr>
                <w:b/>
                <w:sz w:val="16"/>
              </w:rPr>
              <w:t xml:space="preserve">Payload nonlinearity</w:t>
            </w:r>
          </w:p>
        </w:tc>
        <w:tc>
          <w:tcPr>
            <w:shd w:val="clear" w:color="auto" w:fill="E8EDF3"/>
            <w:vAlign w:val="center"/>
          </w:tcPr>
          <w:p>
            <w:pPr>
              <w:pStyle w:val="Compact"/>
              <w:spacing w:after="20"/>
              <w:jc w:val="left"/>
            </w:pPr>
            <w:r>
              <w:rPr>
                <w:b/>
                <w:sz w:val="16"/>
              </w:rPr>
              <w:t xml:space="preserve">IMUX/OMUX</w:t>
            </w:r>
          </w:p>
        </w:tc>
        <w:tc>
          <w:tcPr>
            <w:shd w:val="clear" w:color="auto" w:fill="E8EDF3"/>
            <w:vAlign w:val="center"/>
          </w:tcPr>
          <w:p>
            <w:pPr>
              <w:pStyle w:val="Compact"/>
              <w:spacing w:after="20"/>
              <w:jc w:val="left"/>
            </w:pPr>
            <w:r>
              <w:rPr>
                <w:b/>
                <w:sz w:val="16"/>
              </w:rPr>
              <w:t xml:space="preserve">Multicarrier IM</w:t>
            </w:r>
          </w:p>
        </w:tc>
        <w:tc>
          <w:tcPr>
            <w:shd w:val="clear" w:color="auto" w:fill="E8EDF3"/>
            <w:vAlign w:val="center"/>
          </w:tcPr>
          <w:p>
            <w:pPr>
              <w:pStyle w:val="Compact"/>
              <w:spacing w:after="20"/>
              <w:jc w:val="left"/>
            </w:pPr>
            <w:r>
              <w:rPr>
                <w:b/>
                <w:sz w:val="16"/>
              </w:rPr>
              <w:t xml:space="preserve">Dual polarization</w:t>
            </w:r>
          </w:p>
        </w:tc>
        <w:tc>
          <w:tcPr>
            <w:shd w:val="clear" w:color="auto" w:fill="E8EDF3"/>
            <w:vAlign w:val="center"/>
          </w:tcPr>
          <w:p>
            <w:pPr>
              <w:pStyle w:val="Compact"/>
              <w:spacing w:after="20"/>
              <w:jc w:val="left"/>
            </w:pPr>
            <w:r>
              <w:rPr>
                <w:b/>
                <w:sz w:val="16"/>
              </w:rPr>
              <w:t xml:space="preserve">Carrier plan</w:t>
            </w:r>
          </w:p>
        </w:tc>
        <w:tc>
          <w:tcPr>
            <w:shd w:val="clear" w:color="auto" w:fill="E8EDF3"/>
            <w:vAlign w:val="center"/>
          </w:tcPr>
          <w:p>
            <w:pPr>
              <w:pStyle w:val="Compact"/>
              <w:spacing w:after="20"/>
              <w:jc w:val="left"/>
            </w:pPr>
            <w:r>
              <w:rPr>
                <w:b/>
                <w:sz w:val="16"/>
              </w:rPr>
              <w:t xml:space="preserve">Detects unseen interferers</w:t>
            </w:r>
          </w:p>
        </w:tc>
        <w:tc>
          <w:tcPr>
            <w:shd w:val="clear" w:color="auto" w:fill="E8EDF3"/>
            <w:vAlign w:val="center"/>
          </w:tcPr>
          <w:p>
            <w:pPr>
              <w:pStyle w:val="Compact"/>
              <w:spacing w:after="20"/>
              <w:jc w:val="left"/>
            </w:pPr>
            <w:r>
              <w:rPr>
                <w:b/>
                <w:sz w:val="16"/>
              </w:rPr>
              <w:t xml:space="preserve">Classifies known, rejects unknown</w:t>
            </w:r>
          </w:p>
        </w:tc>
        <w:tc>
          <w:tcPr>
            <w:shd w:val="clear" w:color="auto" w:fill="E8EDF3"/>
            <w:vAlign w:val="center"/>
          </w:tcPr>
          <w:p>
            <w:pPr>
              <w:pStyle w:val="Compact"/>
              <w:spacing w:after="20"/>
              <w:jc w:val="left"/>
            </w:pPr>
            <w:r>
              <w:rPr>
                <w:b/>
                <w:sz w:val="16"/>
              </w:rPr>
              <w:t xml:space="preserve">Data</w:t>
            </w:r>
          </w:p>
        </w:tc>
      </w:tr>
      <w:tr>
        <w:tc>
          <w:tcPr>
            <w:vAlign w:val="center"/>
          </w:tcPr>
          <w:p>
            <w:pPr>
              <w:pStyle w:val="Compact"/>
              <w:spacing w:after="20"/>
              <w:jc w:val="left"/>
            </w:pPr>
            <w:r>
              <w:rPr>
                <w:sz w:val="16"/>
              </w:rPr>
              <w:t xml:space="preserve">On-board detection with cancellation [8], [9]</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Yes (energy test)</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Analytical / simulated</w:t>
            </w:r>
          </w:p>
        </w:tc>
      </w:tr>
      <w:tr>
        <w:tc>
          <w:tcPr>
            <w:vAlign w:val="center"/>
          </w:tcPr>
          <w:p>
            <w:pPr>
              <w:pStyle w:val="Compact"/>
              <w:spacing w:after="20"/>
              <w:jc w:val="left"/>
            </w:pPr>
            <w:r>
              <w:rPr>
                <w:sz w:val="16"/>
              </w:rPr>
              <w:t xml:space="preserve">Autoencoder and LSTM detectors [18], [19]</w:t>
            </w:r>
          </w:p>
        </w:tc>
        <w:tc>
          <w:tcPr>
            <w:vAlign w:val="center"/>
          </w:tcPr>
          <w:p>
            <w:pPr>
              <w:pStyle w:val="Compact"/>
              <w:spacing w:after="20"/>
              <w:jc w:val="left"/>
            </w:pPr>
            <w:r>
              <w:rPr>
                <w:sz w:val="16"/>
              </w:rPr>
              <w:t xml:space="preserve">Implicit (real data, uncontrolled)</w:t>
            </w:r>
          </w:p>
        </w:tc>
        <w:tc>
          <w:tcPr>
            <w:vAlign w:val="center"/>
          </w:tcPr>
          <w:p>
            <w:pPr>
              <w:pStyle w:val="Compact"/>
              <w:spacing w:after="20"/>
              <w:jc w:val="left"/>
            </w:pPr>
            <w:r>
              <w:rPr>
                <w:sz w:val="16"/>
              </w:rPr>
              <w:t xml:space="preserve">Implicit</w:t>
            </w:r>
          </w:p>
        </w:tc>
        <w:tc>
          <w:tcPr>
            <w:vAlign w:val="center"/>
          </w:tcPr>
          <w:p>
            <w:pPr>
              <w:pStyle w:val="Compact"/>
              <w:spacing w:after="20"/>
              <w:jc w:val="left"/>
            </w:pPr>
            <w:r>
              <w:rPr>
                <w:sz w:val="16"/>
              </w:rPr>
              <w:t xml:space="preserve">Implicit</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Real Ku-band and operator spectra</w:t>
            </w:r>
          </w:p>
        </w:tc>
      </w:tr>
      <w:tr>
        <w:tc>
          <w:tcPr>
            <w:vAlign w:val="center"/>
          </w:tcPr>
          <w:p>
            <w:pPr>
              <w:pStyle w:val="Compact"/>
              <w:spacing w:after="20"/>
              <w:jc w:val="left"/>
            </w:pPr>
            <w:r>
              <w:rPr>
                <w:sz w:val="16"/>
              </w:rPr>
              <w:t xml:space="preserve">Operator ML study [6]</w:t>
            </w:r>
          </w:p>
        </w:tc>
        <w:tc>
          <w:tcPr>
            <w:vAlign w:val="center"/>
          </w:tcPr>
          <w:p>
            <w:pPr>
              <w:pStyle w:val="Compact"/>
              <w:spacing w:after="20"/>
              <w:jc w:val="left"/>
            </w:pPr>
            <w:r>
              <w:rPr>
                <w:sz w:val="16"/>
              </w:rPr>
              <w:t xml:space="preserve">Implicit (real data, uncontrolled)</w:t>
            </w:r>
          </w:p>
        </w:tc>
        <w:tc>
          <w:tcPr>
            <w:vAlign w:val="center"/>
          </w:tcPr>
          <w:p>
            <w:pPr>
              <w:pStyle w:val="Compact"/>
              <w:spacing w:after="20"/>
              <w:jc w:val="left"/>
            </w:pPr>
            <w:r>
              <w:rPr>
                <w:sz w:val="16"/>
              </w:rPr>
              <w:t xml:space="preserve">Implicit</w:t>
            </w:r>
          </w:p>
        </w:tc>
        <w:tc>
          <w:tcPr>
            <w:vAlign w:val="center"/>
          </w:tcPr>
          <w:p>
            <w:pPr>
              <w:pStyle w:val="Compact"/>
              <w:spacing w:after="20"/>
              <w:jc w:val="left"/>
            </w:pPr>
            <w:r>
              <w:rPr>
                <w:sz w:val="16"/>
              </w:rPr>
              <w:t xml:space="preserve">Implicit</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Real data</w:t>
            </w:r>
          </w:p>
        </w:tc>
      </w:tr>
      <w:tr>
        <w:tc>
          <w:tcPr>
            <w:vAlign w:val="center"/>
          </w:tcPr>
          <w:p>
            <w:pPr>
              <w:pStyle w:val="Compact"/>
              <w:spacing w:after="20"/>
              <w:jc w:val="left"/>
            </w:pPr>
            <w:r>
              <w:rPr>
                <w:sz w:val="16"/>
              </w:rPr>
              <w:t xml:space="preserve">On-board CNN [20]</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Partial (subband grid)</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Simulated</w:t>
            </w:r>
          </w:p>
        </w:tc>
      </w:tr>
      <w:tr>
        <w:tc>
          <w:tcPr>
            <w:vAlign w:val="center"/>
          </w:tcPr>
          <w:p>
            <w:pPr>
              <w:pStyle w:val="Compact"/>
              <w:spacing w:after="20"/>
              <w:jc w:val="left"/>
            </w:pPr>
            <w:r>
              <w:rPr>
                <w:sz w:val="16"/>
              </w:rPr>
              <w:t>NGSO-to-GSO detectors [21], [22], [23]</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Yes (reconstruction error)</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Simulated, public</w:t>
            </w:r>
          </w:p>
        </w:tc>
      </w:tr>
      <w:tr>
        <w:tc>
          <w:tcPr>
            <w:vAlign w:val="center"/>
          </w:tcPr>
          <w:p>
            <w:pPr>
              <w:pStyle w:val="Compact"/>
              <w:spacing w:after="20"/>
              <w:jc w:val="left"/>
            </w:pPr>
            <w:r>
              <w:rPr>
                <w:sz w:val="16"/>
              </w:rPr>
              <w:t xml:space="preserve">Agon [24]</w:t>
            </w:r>
          </w:p>
        </w:tc>
        <w:tc>
          <w:tcPr>
            <w:vAlign w:val="center"/>
          </w:tcPr>
          <w:p>
            <w:pPr>
              <w:pStyle w:val="Compact"/>
              <w:spacing w:after="20"/>
              <w:jc w:val="left"/>
            </w:pPr>
            <w:r>
              <w:rPr>
                <w:sz w:val="16"/>
              </w:rPr>
              <w:t xml:space="preserve">Testbed only, not swept</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No (covariate shift only)</w:t>
            </w:r>
          </w:p>
        </w:tc>
        <w:tc>
          <w:tcPr>
            <w:vAlign w:val="center"/>
          </w:tcPr>
          <w:p>
            <w:pPr>
              <w:pStyle w:val="Compact"/>
              <w:spacing w:after="20"/>
              <w:jc w:val="left"/>
            </w:pPr>
            <w:r>
              <w:rPr>
                <w:sz w:val="16"/>
              </w:rPr>
              <w:t xml:space="preserve">Public, own simulation, testbed</w:t>
            </w:r>
          </w:p>
        </w:tc>
      </w:tr>
      <w:tr>
        <w:tc>
          <w:tcPr>
            <w:vAlign w:val="center"/>
          </w:tcPr>
          <w:p>
            <w:pPr>
              <w:pStyle w:val="Compact"/>
              <w:spacing w:after="20"/>
              <w:jc w:val="left"/>
            </w:pPr>
            <w:r>
              <w:rPr>
                <w:sz w:val="16"/>
              </w:rPr>
              <w:t>Closed-set classifiers [25], [26], [27]</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Mostly simulated AWGN; hardware chain in [26]</w:t>
            </w:r>
          </w:p>
        </w:tc>
      </w:tr>
      <w:tr>
        <w:tc>
          <w:tcPr>
            <w:vAlign w:val="center"/>
          </w:tcPr>
          <w:p>
            <w:pPr>
              <w:pStyle w:val="Compact"/>
              <w:spacing w:after="20"/>
              <w:jc w:val="left"/>
            </w:pPr>
            <w:r>
              <w:rPr>
                <w:sz w:val="16"/>
              </w:rPr>
              <w:t>Open-set jamming recognition [88], [89], [90], [91]</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Simulated</w:t>
            </w:r>
          </w:p>
        </w:tc>
      </w:tr>
      <w:tr>
        <w:tc>
          <w:tcPr>
            <w:vAlign w:val="center"/>
          </w:tcPr>
          <w:p>
            <w:pPr>
              <w:pStyle w:val="Compact"/>
              <w:spacing w:after="20"/>
              <w:jc w:val="left"/>
            </w:pPr>
            <w:r>
              <w:rPr>
                <w:sz w:val="16"/>
              </w:rPr>
              <w:t>GNSS interference ML [32], [33], [34], [35]</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Partial</w:t>
            </w:r>
          </w:p>
        </w:tc>
        <w:tc>
          <w:tcPr>
            <w:vAlign w:val="center"/>
          </w:tcPr>
          <w:p>
            <w:pPr>
              <w:pStyle w:val="Compact"/>
              <w:spacing w:after="20"/>
              <w:jc w:val="left"/>
            </w:pPr>
            <w:r>
              <w:rPr>
                <w:sz w:val="16"/>
              </w:rPr>
              <w:t xml:space="preserve">Partial (novel classes)</w:t>
            </w:r>
          </w:p>
        </w:tc>
        <w:tc>
          <w:tcPr>
            <w:vAlign w:val="center"/>
          </w:tcPr>
          <w:p>
            <w:pPr>
              <w:pStyle w:val="Compact"/>
              <w:spacing w:after="20"/>
              <w:jc w:val="left"/>
            </w:pPr>
            <w:r>
              <w:rPr>
                <w:sz w:val="16"/>
              </w:rPr>
              <w:t xml:space="preserve">Real and controlled</w:t>
            </w:r>
          </w:p>
        </w:tc>
      </w:tr>
      <w:tr>
        <w:tc>
          <w:tcPr>
            <w:vAlign w:val="center"/>
          </w:tcPr>
          <w:p>
            <w:pPr>
              <w:pStyle w:val="Compact"/>
              <w:spacing w:after="20"/>
              <w:jc w:val="left"/>
            </w:pPr>
            <w:r>
              <w:rPr>
                <w:sz w:val="16"/>
              </w:rPr>
              <w:t>DVB-S2X reference channel [105]</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Partial (two carriers per TWTA)</w:t>
            </w:r>
          </w:p>
        </w:tc>
        <w:tc>
          <w:tcPr>
            <w:vAlign w:val="center"/>
          </w:tcPr>
          <w:p>
            <w:pPr>
              <w:pStyle w:val="Compact"/>
              <w:spacing w:after="20"/>
              <w:jc w:val="left"/>
            </w:pPr>
            <w:r>
              <w:rPr>
                <w:sz w:val="16"/>
              </w:rPr>
              <w:t xml:space="preserve">Aggregate C/I only</w:t>
            </w:r>
          </w:p>
        </w:tc>
        <w:tc>
          <w:tcPr>
            <w:vAlign w:val="center"/>
          </w:tcPr>
          <w:p>
            <w:pPr>
              <w:pStyle w:val="Compact"/>
              <w:spacing w:after="20"/>
              <w:jc w:val="left"/>
            </w:pPr>
            <w:r>
              <w:rPr>
                <w:sz w:val="16"/>
              </w:rPr>
              <w:t xml:space="preserve">Partial</w:t>
            </w:r>
          </w:p>
        </w:tc>
        <w:tc>
          <w:tcPr>
            <w:vAlign w:val="center"/>
          </w:tcPr>
          <w:p>
            <w:pPr>
              <w:pStyle w:val="Compact"/>
              <w:spacing w:after="20"/>
              <w:jc w:val="left"/>
            </w:pPr>
            <w:r>
              <w:rPr>
                <w:sz w:val="16"/>
              </w:rPr>
              <w:t xml:space="preserve">Not applicable</w:t>
            </w:r>
          </w:p>
        </w:tc>
        <w:tc>
          <w:tcPr>
            <w:vAlign w:val="center"/>
          </w:tcPr>
          <w:p>
            <w:pPr>
              <w:pStyle w:val="Compact"/>
              <w:spacing w:after="20"/>
              <w:jc w:val="left"/>
            </w:pPr>
            <w:r>
              <w:rPr>
                <w:sz w:val="16"/>
              </w:rPr>
              <w:t xml:space="preserve">Not applicable</w:t>
            </w:r>
          </w:p>
        </w:tc>
        <w:tc>
          <w:tcPr>
            <w:vAlign w:val="center"/>
          </w:tcPr>
          <w:p>
            <w:pPr>
              <w:pStyle w:val="Compact"/>
              <w:spacing w:after="20"/>
              <w:jc w:val="left"/>
            </w:pPr>
            <w:r>
              <w:rPr>
                <w:sz w:val="16"/>
              </w:rPr>
              <w:t xml:space="preserve">Reference model</w:t>
            </w:r>
          </w:p>
        </w:tc>
      </w:tr>
      <w:tr>
        <w:tc>
          <w:tcPr>
            <w:vAlign w:val="center"/>
          </w:tcPr>
          <w:p>
            <w:pPr>
              <w:pStyle w:val="Compact"/>
              <w:spacing w:after="20"/>
              <w:jc w:val="left"/>
            </w:pPr>
            <w:r>
              <w:rPr>
                <w:sz w:val="16"/>
              </w:rPr>
              <w:t xml:space="preserve">Stage A (Kademe A; specified in project plans, not audited here)</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Modelled</w:t>
            </w:r>
          </w:p>
        </w:tc>
        <w:tc>
          <w:tcPr>
            <w:vAlign w:val="center"/>
          </w:tcPr>
          <w:p>
            <w:pPr>
              <w:pStyle w:val="Compact"/>
              <w:spacing w:after="20"/>
              <w:jc w:val="left"/>
            </w:pPr>
            <w:r>
              <w:rPr>
                <w:sz w:val="16"/>
              </w:rPr>
              <w:t xml:space="preserve">No</w:t>
            </w:r>
          </w:p>
        </w:tc>
        <w:tc>
          <w:tcPr>
            <w:vAlign w:val="center"/>
          </w:tcPr>
          <w:p>
            <w:pPr>
              <w:pStyle w:val="Compact"/>
              <w:spacing w:after="20"/>
              <w:jc w:val="left"/>
            </w:pPr>
            <w:r>
              <w:rPr>
                <w:sz w:val="16"/>
              </w:rPr>
              <w:t xml:space="preserve">Yes</w:t>
            </w:r>
          </w:p>
        </w:tc>
        <w:tc>
          <w:tcPr>
            <w:vAlign w:val="center"/>
          </w:tcPr>
          <w:p>
            <w:pPr>
              <w:pStyle w:val="Compact"/>
              <w:spacing w:after="20"/>
              <w:jc w:val="left"/>
            </w:pPr>
            <w:r>
              <w:rPr>
                <w:sz w:val="16"/>
              </w:rPr>
              <w:t xml:space="preserve">Not established</w:t>
            </w:r>
          </w:p>
        </w:tc>
        <w:tc>
          <w:tcPr>
            <w:vAlign w:val="center"/>
          </w:tcPr>
          <w:p>
            <w:pPr>
              <w:pStyle w:val="Compact"/>
              <w:spacing w:after="20"/>
              <w:jc w:val="left"/>
            </w:pPr>
            <w:r>
              <w:rPr>
                <w:sz w:val="16"/>
              </w:rPr>
              <w:t xml:space="preserve">No; closed set</w:t>
            </w:r>
          </w:p>
        </w:tc>
        <w:tc>
          <w:tcPr>
            <w:vAlign w:val="center"/>
          </w:tcPr>
          <w:p>
            <w:pPr>
              <w:pStyle w:val="Compact"/>
              <w:spacing w:after="20"/>
              <w:jc w:val="left"/>
            </w:pPr>
            <w:r>
              <w:rPr>
                <w:sz w:val="16"/>
              </w:rPr>
              <w:t xml:space="preserve">Simulated; five classes; CA-CFAR baseline</w:t>
            </w:r>
          </w:p>
        </w:tc>
      </w:tr>
      <w:tr>
        <w:tc>
          <w:tcPr>
            <w:vAlign w:val="center"/>
          </w:tcPr>
          <w:p>
            <w:pPr>
              <w:pStyle w:val="Compact"/>
              <w:spacing w:after="20"/>
              <w:jc w:val="left"/>
            </w:pPr>
            <w:r>
              <w:rPr>
                <w:sz w:val="16"/>
              </w:rPr>
              <w:t xml:space="preserve">Proposed project (full Stage B design targets; not demonstrated results)</w:t>
            </w:r>
          </w:p>
        </w:tc>
        <w:tc>
          <w:tcPr>
            <w:vAlign w:val="center"/>
          </w:tcPr>
          <w:p>
            <w:pPr>
              <w:pStyle w:val="Compact"/>
              <w:spacing w:after="20"/>
              <w:jc w:val="left"/>
            </w:pPr>
            <w:r>
              <w:rPr>
                <w:sz w:val="16"/>
              </w:rPr>
              <w:t xml:space="preserve">Planned</w:t>
            </w:r>
          </w:p>
        </w:tc>
        <w:tc>
          <w:tcPr>
            <w:vAlign w:val="center"/>
          </w:tcPr>
          <w:p>
            <w:pPr>
              <w:pStyle w:val="Compact"/>
              <w:spacing w:after="20"/>
              <w:jc w:val="left"/>
            </w:pPr>
            <w:r>
              <w:rPr>
                <w:sz w:val="16"/>
              </w:rPr>
              <w:t xml:space="preserve">Planned</w:t>
            </w:r>
          </w:p>
        </w:tc>
        <w:tc>
          <w:tcPr>
            <w:vAlign w:val="center"/>
          </w:tcPr>
          <w:p>
            <w:pPr>
              <w:pStyle w:val="Compact"/>
              <w:spacing w:after="20"/>
              <w:jc w:val="left"/>
            </w:pPr>
            <w:r>
              <w:rPr>
                <w:sz w:val="16"/>
              </w:rPr>
              <w:t xml:space="preserve">Planned</w:t>
            </w:r>
          </w:p>
        </w:tc>
        <w:tc>
          <w:tcPr>
            <w:vAlign w:val="center"/>
          </w:tcPr>
          <w:p>
            <w:pPr>
              <w:pStyle w:val="Compact"/>
              <w:spacing w:after="20"/>
              <w:jc w:val="left"/>
            </w:pPr>
            <w:r>
              <w:rPr>
                <w:sz w:val="16"/>
              </w:rPr>
              <w:t xml:space="preserve">Planned</w:t>
            </w:r>
          </w:p>
        </w:tc>
        <w:tc>
          <w:tcPr>
            <w:vAlign w:val="center"/>
          </w:tcPr>
          <w:p>
            <w:pPr>
              <w:pStyle w:val="Compact"/>
              <w:spacing w:after="20"/>
              <w:jc w:val="left"/>
            </w:pPr>
            <w:r>
              <w:rPr>
                <w:sz w:val="16"/>
              </w:rPr>
              <w:t xml:space="preserve">Planned</w:t>
            </w:r>
          </w:p>
        </w:tc>
        <w:tc>
          <w:tcPr>
            <w:vAlign w:val="center"/>
          </w:tcPr>
          <w:p>
            <w:pPr>
              <w:pStyle w:val="Compact"/>
              <w:spacing w:after="20"/>
              <w:jc w:val="left"/>
            </w:pPr>
            <w:r>
              <w:rPr>
                <w:sz w:val="16"/>
              </w:rPr>
              <w:t xml:space="preserve">To evaluate</w:t>
            </w:r>
          </w:p>
        </w:tc>
        <w:tc>
          <w:tcPr>
            <w:vAlign w:val="center"/>
          </w:tcPr>
          <w:p>
            <w:pPr>
              <w:pStyle w:val="Compact"/>
              <w:spacing w:after="20"/>
              <w:jc w:val="left"/>
            </w:pPr>
            <w:r>
              <w:rPr>
                <w:sz w:val="16"/>
              </w:rPr>
              <w:t xml:space="preserve">To evaluate</w:t>
            </w:r>
          </w:p>
        </w:tc>
        <w:tc>
          <w:tcPr>
            <w:vAlign w:val="center"/>
          </w:tcPr>
          <w:p>
            <w:pPr>
              <w:pStyle w:val="Compact"/>
              <w:spacing w:after="20"/>
              <w:jc w:val="left"/>
            </w:pPr>
            <w:r>
              <w:rPr>
                <w:sz w:val="16"/>
              </w:rPr>
              <w:t xml:space="preserve">Simulation planned, with independent mismatch checks</w:t>
            </w:r>
          </w:p>
        </w:tc>
      </w:tr>
    </w:tbl>
    <w:p>
      <w:pPr>
        <w:pStyle w:val="BodyText"/>
      </w:pPr>
      <w:r>
        <w:t xml:space="preserve">Table 3 collects the results the closest studies report. No two rows share a dataset, a task and a metric, so the numbers cannot be ranked against one another; they show what has been claimed and under which signal model.</w:t>
      </w:r>
    </w:p>
    <w:p>
      <w:pPr>
        <w:pStyle w:val="BodyText"/>
      </w:pPr>
      <w:r>
        <w:rPr>
          <w:bCs/>
          <w:b/>
        </w:rPr>
        <w:t xml:space="preserve">Table 3.</w:t>
      </w:r>
      <w:r>
        <w:t xml:space="preserve"> </w:t>
      </w:r>
      <w:r>
        <w:t xml:space="preserve">Source-reported results for the closest prior work; not reproduced measurements. Agon’s figures were checked against its primary text; rows without a figure state the task only.</w:t>
      </w:r>
    </w:p>
    <w:tbl>
      <w:tblPr>
        <w:tblStyle w:val="Table"/>
        <w:tblW w:type="pct" w:w="5000"/>
        <w:tblLayout w:type="autofit"/>
        <w:tblLook w:firstRow="1" w:lastRow="0" w:firstColumn="0" w:lastColumn="0" w:noHBand="0" w:noVBand="0" w:val="002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584"/>
        <w:gridCol w:w="1584"/>
        <w:gridCol w:w="1584"/>
        <w:gridCol w:w="1584"/>
      </w:tblGrid>
      <w:tr>
        <w:trPr>
          <w:tblHeader w:val="true"/>
          <w:tblHeader w:val="true"/>
        </w:trPr>
        <w:tc>
          <w:tcPr>
            <w:shd w:val="clear" w:color="auto" w:fill="E8EDF3"/>
            <w:vAlign w:val="center"/>
          </w:tcPr>
          <w:p>
            <w:pPr>
              <w:pStyle w:val="Compact"/>
              <w:spacing w:after="20"/>
              <w:jc w:val="left"/>
            </w:pPr>
            <w:r>
              <w:rPr>
                <w:b/>
                <w:sz w:val="16"/>
              </w:rPr>
              <w:t xml:space="preserve">Work</w:t>
            </w:r>
          </w:p>
        </w:tc>
        <w:tc>
          <w:tcPr>
            <w:shd w:val="clear" w:color="auto" w:fill="E8EDF3"/>
            <w:vAlign w:val="center"/>
          </w:tcPr>
          <w:p>
            <w:pPr>
              <w:pStyle w:val="Compact"/>
              <w:spacing w:after="20"/>
              <w:jc w:val="left"/>
            </w:pPr>
            <w:r>
              <w:rPr>
                <w:b/>
                <w:sz w:val="16"/>
              </w:rPr>
              <w:t xml:space="preserve">Task</w:t>
            </w:r>
          </w:p>
        </w:tc>
        <w:tc>
          <w:tcPr>
            <w:shd w:val="clear" w:color="auto" w:fill="E8EDF3"/>
            <w:vAlign w:val="center"/>
          </w:tcPr>
          <w:p>
            <w:pPr>
              <w:pStyle w:val="Compact"/>
              <w:spacing w:after="20"/>
              <w:jc w:val="left"/>
            </w:pPr>
            <w:r>
              <w:rPr>
                <w:b/>
                <w:sz w:val="16"/>
              </w:rPr>
              <w:t xml:space="preserve">Data</w:t>
            </w:r>
          </w:p>
        </w:tc>
        <w:tc>
          <w:tcPr>
            <w:shd w:val="clear" w:color="auto" w:fill="E8EDF3"/>
            <w:vAlign w:val="center"/>
          </w:tcPr>
          <w:p>
            <w:pPr>
              <w:pStyle w:val="Compact"/>
              <w:spacing w:after="20"/>
              <w:jc w:val="left"/>
            </w:pPr>
            <w:r>
              <w:rPr>
                <w:b/>
                <w:sz w:val="16"/>
              </w:rPr>
              <w:t xml:space="preserve">Signal model</w:t>
            </w:r>
          </w:p>
        </w:tc>
        <w:tc>
          <w:tcPr>
            <w:shd w:val="clear" w:color="auto" w:fill="E8EDF3"/>
            <w:vAlign w:val="center"/>
          </w:tcPr>
          <w:p>
            <w:pPr>
              <w:pStyle w:val="Compact"/>
              <w:spacing w:after="20"/>
              <w:jc w:val="left"/>
            </w:pPr>
            <w:r>
              <w:rPr>
                <w:b/>
                <w:sz w:val="16"/>
              </w:rPr>
              <w:t xml:space="preserve">Reported result</w:t>
            </w:r>
          </w:p>
        </w:tc>
      </w:tr>
      <w:tr>
        <w:tc>
          <w:tcPr>
            <w:vAlign w:val="center"/>
          </w:tcPr>
          <w:p>
            <w:pPr>
              <w:pStyle w:val="Compact"/>
              <w:spacing w:after="20"/>
              <w:jc w:val="left"/>
            </w:pPr>
            <w:r>
              <w:rPr>
                <w:sz w:val="16"/>
              </w:rPr>
              <w:t xml:space="preserve">Vázquez et al. [6]</w:t>
            </w:r>
          </w:p>
        </w:tc>
        <w:tc>
          <w:tcPr>
            <w:vAlign w:val="center"/>
          </w:tcPr>
          <w:p>
            <w:pPr>
              <w:pStyle w:val="Compact"/>
              <w:spacing w:after="20"/>
              <w:jc w:val="left"/>
            </w:pPr>
            <w:r>
              <w:rPr>
                <w:sz w:val="16"/>
              </w:rPr>
              <w:t xml:space="preserve">Binary detection</w:t>
            </w:r>
          </w:p>
        </w:tc>
        <w:tc>
          <w:tcPr>
            <w:vAlign w:val="center"/>
          </w:tcPr>
          <w:p>
            <w:pPr>
              <w:pStyle w:val="Compact"/>
              <w:spacing w:after="20"/>
              <w:jc w:val="left"/>
            </w:pPr>
            <w:r>
              <w:rPr>
                <w:sz w:val="16"/>
              </w:rPr>
              <w:t xml:space="preserve">Real data; ESA-funded, with Eutelsat</w:t>
            </w:r>
          </w:p>
        </w:tc>
        <w:tc>
          <w:tcPr>
            <w:vAlign w:val="center"/>
          </w:tcPr>
          <w:p>
            <w:pPr>
              <w:pStyle w:val="Compact"/>
              <w:spacing w:after="20"/>
              <w:jc w:val="left"/>
            </w:pPr>
            <w:r>
              <w:rPr>
                <w:sz w:val="16"/>
              </w:rPr>
              <w:t xml:space="preserve">Real captures</w:t>
            </w:r>
          </w:p>
        </w:tc>
        <w:tc>
          <w:tcPr>
            <w:vAlign w:val="center"/>
          </w:tcPr>
          <w:p>
            <w:pPr>
              <w:pStyle w:val="Compact"/>
              <w:spacing w:after="20"/>
              <w:jc w:val="left"/>
            </w:pPr>
            <w:r>
              <w:rPr>
                <w:sz w:val="16"/>
              </w:rPr>
              <w:t xml:space="preserve">No figure quoted</w:t>
            </w:r>
          </w:p>
        </w:tc>
      </w:tr>
      <w:tr>
        <w:tc>
          <w:tcPr>
            <w:vAlign w:val="center"/>
          </w:tcPr>
          <w:p>
            <w:pPr>
              <w:pStyle w:val="Compact"/>
              <w:spacing w:after="20"/>
              <w:jc w:val="left"/>
            </w:pPr>
            <w:r>
              <w:rPr>
                <w:sz w:val="16"/>
              </w:rPr>
              <w:t xml:space="preserve">Pellaco et al. [19]</w:t>
            </w:r>
          </w:p>
        </w:tc>
        <w:tc>
          <w:tcPr>
            <w:vAlign w:val="center"/>
          </w:tcPr>
          <w:p>
            <w:pPr>
              <w:pStyle w:val="Compact"/>
              <w:spacing w:after="20"/>
              <w:jc w:val="left"/>
            </w:pPr>
            <w:r>
              <w:rPr>
                <w:sz w:val="16"/>
              </w:rPr>
              <w:t xml:space="preserve">Detection by spectrum prediction</w:t>
            </w:r>
          </w:p>
        </w:tc>
        <w:tc>
          <w:tcPr>
            <w:vAlign w:val="center"/>
          </w:tcPr>
          <w:p>
            <w:pPr>
              <w:pStyle w:val="Compact"/>
              <w:spacing w:after="20"/>
              <w:jc w:val="left"/>
            </w:pPr>
            <w:r>
              <w:rPr>
                <w:sz w:val="16"/>
              </w:rPr>
              <w:t xml:space="preserve">Real spectra from the Swedish Space Corporation</w:t>
            </w:r>
          </w:p>
        </w:tc>
        <w:tc>
          <w:tcPr>
            <w:vAlign w:val="center"/>
          </w:tcPr>
          <w:p>
            <w:pPr>
              <w:pStyle w:val="Compact"/>
              <w:spacing w:after="20"/>
              <w:jc w:val="left"/>
            </w:pPr>
            <w:r>
              <w:rPr>
                <w:sz w:val="16"/>
              </w:rPr>
              <w:t xml:space="preserve">Real captures with artificially added interference</w:t>
            </w:r>
          </w:p>
        </w:tc>
        <w:tc>
          <w:tcPr>
            <w:vAlign w:val="center"/>
          </w:tcPr>
          <w:p>
            <w:pPr>
              <w:pStyle w:val="Compact"/>
              <w:spacing w:after="20"/>
              <w:jc w:val="left"/>
            </w:pPr>
            <w:r>
              <w:rPr>
                <w:sz w:val="16"/>
              </w:rPr>
              <w:t xml:space="preserve">More reliable than a model-based baseline; no single figure given</w:t>
            </w:r>
          </w:p>
        </w:tc>
      </w:tr>
      <w:tr>
        <w:tc>
          <w:tcPr>
            <w:vAlign w:val="center"/>
          </w:tcPr>
          <w:p>
            <w:pPr>
              <w:pStyle w:val="Compact"/>
              <w:spacing w:after="20"/>
              <w:jc w:val="left"/>
            </w:pPr>
            <w:r>
              <w:rPr>
                <w:sz w:val="16"/>
              </w:rPr>
              <w:t xml:space="preserve">Daoud et al. [20]</w:t>
            </w:r>
          </w:p>
        </w:tc>
        <w:tc>
          <w:tcPr>
            <w:vAlign w:val="center"/>
          </w:tcPr>
          <w:p>
            <w:pPr>
              <w:pStyle w:val="Compact"/>
              <w:spacing w:after="20"/>
              <w:jc w:val="left"/>
            </w:pPr>
            <w:r>
              <w:rPr>
                <w:sz w:val="16"/>
              </w:rPr>
              <w:t xml:space="preserve">Subband localization, on-board CNN</w:t>
            </w:r>
          </w:p>
        </w:tc>
        <w:tc>
          <w:tcPr>
            <w:vAlign w:val="center"/>
          </w:tcPr>
          <w:p>
            <w:pPr>
              <w:pStyle w:val="Compact"/>
              <w:spacing w:after="20"/>
              <w:jc w:val="left"/>
            </w:pPr>
            <w:r>
              <w:rPr>
                <w:sz w:val="16"/>
              </w:rPr>
              <w:t xml:space="preserve">Simulated</w:t>
            </w:r>
          </w:p>
        </w:tc>
        <w:tc>
          <w:tcPr>
            <w:vAlign w:val="center"/>
          </w:tcPr>
          <w:p>
            <w:pPr>
              <w:pStyle w:val="Compact"/>
              <w:spacing w:after="20"/>
              <w:jc w:val="left"/>
            </w:pPr>
            <w:r>
              <w:rPr>
                <w:sz w:val="16"/>
              </w:rPr>
              <w:t xml:space="preserve">BPSK, linear superposition</w:t>
            </w:r>
          </w:p>
        </w:tc>
        <w:tc>
          <w:tcPr>
            <w:vAlign w:val="center"/>
          </w:tcPr>
          <w:p>
            <w:pPr>
              <w:pStyle w:val="Compact"/>
              <w:spacing w:after="20"/>
              <w:jc w:val="left"/>
            </w:pPr>
            <w:r>
              <w:rPr>
                <w:sz w:val="16"/>
              </w:rPr>
              <w:t xml:space="preserve">Reduced-dimension FFT magnitude gives the best accuracy</w:t>
            </w:r>
          </w:p>
        </w:tc>
      </w:tr>
      <w:tr>
        <w:tc>
          <w:tcPr>
            <w:vAlign w:val="center"/>
          </w:tcPr>
          <w:p>
            <w:pPr>
              <w:pStyle w:val="Compact"/>
              <w:spacing w:after="20"/>
              <w:jc w:val="left"/>
            </w:pPr>
            <w:r>
              <w:rPr>
                <w:sz w:val="16"/>
              </w:rPr>
              <w:t xml:space="preserve">Saifaldawla et al. [22]</w:t>
            </w:r>
          </w:p>
        </w:tc>
        <w:tc>
          <w:tcPr>
            <w:vAlign w:val="center"/>
          </w:tcPr>
          <w:p>
            <w:pPr>
              <w:pStyle w:val="Compact"/>
              <w:spacing w:after="20"/>
              <w:jc w:val="left"/>
            </w:pPr>
            <w:r>
              <w:rPr>
                <w:sz w:val="16"/>
              </w:rPr>
              <w:t xml:space="preserve">Binary detection, convolutional autoencoders</w:t>
            </w:r>
          </w:p>
        </w:tc>
        <w:tc>
          <w:tcPr>
            <w:vAlign w:val="center"/>
          </w:tcPr>
          <w:p>
            <w:pPr>
              <w:pStyle w:val="Compact"/>
              <w:spacing w:after="20"/>
              <w:jc w:val="left"/>
            </w:pPr>
            <w:r>
              <w:rPr>
                <w:sz w:val="16"/>
              </w:rPr>
              <w:t xml:space="preserve">Simulated NGSO→GSO</w:t>
            </w:r>
          </w:p>
        </w:tc>
        <w:tc>
          <w:tcPr>
            <w:vAlign w:val="center"/>
          </w:tcPr>
          <w:p>
            <w:pPr>
              <w:pStyle w:val="Compact"/>
              <w:spacing w:after="20"/>
              <w:jc w:val="left"/>
            </w:pPr>
            <w:r>
              <w:rPr>
                <w:sz w:val="16"/>
              </w:rPr>
              <w:t xml:space="preserve">Linear superposition</w:t>
            </w:r>
          </w:p>
        </w:tc>
        <w:tc>
          <w:tcPr>
            <w:vAlign w:val="center"/>
          </w:tcPr>
          <w:p>
            <w:pPr>
              <w:pStyle w:val="Compact"/>
              <w:spacing w:after="20"/>
              <w:jc w:val="left"/>
            </w:pPr>
            <w:r>
              <w:rPr>
                <w:sz w:val="16"/>
              </w:rPr>
              <w:t xml:space="preserve">No figure quoted</w:t>
            </w:r>
          </w:p>
        </w:tc>
      </w:tr>
      <w:tr>
        <w:tc>
          <w:tcPr>
            <w:vAlign w:val="center"/>
          </w:tcPr>
          <w:p>
            <w:pPr>
              <w:pStyle w:val="Compact"/>
              <w:spacing w:after="20"/>
              <w:jc w:val="left"/>
            </w:pPr>
            <w:r>
              <w:rPr>
                <w:sz w:val="16"/>
              </w:rPr>
              <w:t xml:space="preserve">Saifaldawla et al. [23]</w:t>
            </w:r>
          </w:p>
        </w:tc>
        <w:tc>
          <w:tcPr>
            <w:vAlign w:val="center"/>
          </w:tcPr>
          <w:p>
            <w:pPr>
              <w:pStyle w:val="Compact"/>
              <w:spacing w:after="20"/>
              <w:jc w:val="left"/>
            </w:pPr>
            <w:r>
              <w:rPr>
                <w:sz w:val="16"/>
              </w:rPr>
              <w:t xml:space="preserve">Binary detection, VAE and transformer (TrID)</w:t>
            </w:r>
          </w:p>
        </w:tc>
        <w:tc>
          <w:tcPr>
            <w:vAlign w:val="center"/>
          </w:tcPr>
          <w:p>
            <w:pPr>
              <w:pStyle w:val="Compact"/>
              <w:spacing w:after="20"/>
              <w:jc w:val="left"/>
            </w:pPr>
            <w:r>
              <w:rPr>
                <w:sz w:val="16"/>
              </w:rPr>
              <w:t xml:space="preserve">Public NGSO–GSO set</w:t>
            </w:r>
          </w:p>
        </w:tc>
        <w:tc>
          <w:tcPr>
            <w:vAlign w:val="center"/>
          </w:tcPr>
          <w:p>
            <w:pPr>
              <w:pStyle w:val="Compact"/>
              <w:spacing w:after="20"/>
              <w:jc w:val="left"/>
            </w:pPr>
            <w:r>
              <w:rPr>
                <w:sz w:val="16"/>
              </w:rPr>
              <w:t xml:space="preserve">Linear superposition</w:t>
            </w:r>
          </w:p>
        </w:tc>
        <w:tc>
          <w:tcPr>
            <w:vAlign w:val="center"/>
          </w:tcPr>
          <w:p>
            <w:pPr>
              <w:pStyle w:val="Compact"/>
              <w:spacing w:after="20"/>
              <w:jc w:val="left"/>
            </w:pPr>
            <w:r>
              <w:rPr>
                <w:sz w:val="16"/>
              </w:rPr>
              <w:t xml:space="preserve">No figure quoted from [23]; re-evaluated in [24] (second-hand): AUC 0.8318 on the public set, 0.7253 on NGSO–NGSO</w:t>
            </w:r>
          </w:p>
        </w:tc>
      </w:tr>
      <w:tr>
        <w:tc>
          <w:tcPr>
            <w:vAlign w:val="center"/>
          </w:tcPr>
          <w:p>
            <w:pPr>
              <w:pStyle w:val="Compact"/>
              <w:spacing w:after="20"/>
              <w:jc w:val="left"/>
            </w:pPr>
            <w:r>
              <w:rPr>
                <w:sz w:val="16"/>
              </w:rPr>
              <w:t xml:space="preserve">Yang et al. (Agon) [24]</w:t>
            </w:r>
          </w:p>
        </w:tc>
        <w:tc>
          <w:tcPr>
            <w:vAlign w:val="center"/>
          </w:tcPr>
          <w:p>
            <w:pPr>
              <w:pStyle w:val="Compact"/>
              <w:spacing w:after="20"/>
              <w:jc w:val="left"/>
            </w:pPr>
            <w:r>
              <w:rPr>
                <w:sz w:val="16"/>
              </w:rPr>
              <w:t xml:space="preserve">Binary detection with a modulation-classification head, semi-supervised transformer</w:t>
            </w:r>
          </w:p>
        </w:tc>
        <w:tc>
          <w:tcPr>
            <w:vAlign w:val="center"/>
          </w:tcPr>
          <w:p>
            <w:pPr>
              <w:pStyle w:val="Compact"/>
              <w:spacing w:after="20"/>
              <w:jc w:val="left"/>
            </w:pPr>
            <w:r>
              <w:rPr>
                <w:sz w:val="16"/>
              </w:rPr>
              <w:t xml:space="preserve">Public NGSO–GSO set; authors’ NGSO–NGSO simulation; testbed</w:t>
            </w:r>
          </w:p>
        </w:tc>
        <w:tc>
          <w:tcPr>
            <w:vAlign w:val="center"/>
          </w:tcPr>
          <w:p>
            <w:pPr>
              <w:pStyle w:val="Compact"/>
              <w:spacing w:after="20"/>
              <w:jc w:val="left"/>
            </w:pPr>
            <w:r>
              <w:rPr>
                <w:sz w:val="16"/>
              </w:rPr>
              <w:t xml:space="preserve">Linear superposition; testbed hardware</w:t>
            </w:r>
          </w:p>
        </w:tc>
        <w:tc>
          <w:tcPr>
            <w:vAlign w:val="center"/>
          </w:tcPr>
          <w:p>
            <w:pPr>
              <w:pStyle w:val="Compact"/>
              <w:spacing w:after="20"/>
              <w:jc w:val="left"/>
            </w:pPr>
            <w:r>
              <w:rPr>
                <w:sz w:val="16"/>
              </w:rPr>
              <w:t xml:space="preserve">AUC 0.9327, F1 0.8351 (NGSO–GSO); AUC 0.9085, F1 0.9055 (NGSO–NGSO)</w:t>
            </w:r>
          </w:p>
        </w:tc>
      </w:tr>
      <w:tr>
        <w:tc>
          <w:tcPr>
            <w:vAlign w:val="center"/>
          </w:tcPr>
          <w:p>
            <w:pPr>
              <w:pStyle w:val="Compact"/>
              <w:spacing w:after="20"/>
              <w:jc w:val="left"/>
            </w:pPr>
            <w:r>
              <w:rPr>
                <w:sz w:val="16"/>
              </w:rPr>
              <w:t>Chen et al. [88]</w:t>
            </w:r>
          </w:p>
        </w:tc>
        <w:tc>
          <w:tcPr>
            <w:vAlign w:val="center"/>
          </w:tcPr>
          <w:p>
            <w:pPr>
              <w:pStyle w:val="Compact"/>
              <w:spacing w:after="20"/>
              <w:jc w:val="left"/>
            </w:pPr>
            <w:r>
              <w:rPr>
                <w:sz w:val="16"/>
              </w:rPr>
              <w:t xml:space="preserve">Open-set jamming recognition</w:t>
            </w:r>
          </w:p>
        </w:tc>
        <w:tc>
          <w:tcPr>
            <w:vAlign w:val="center"/>
          </w:tcPr>
          <w:p>
            <w:pPr>
              <w:pStyle w:val="Compact"/>
              <w:spacing w:after="20"/>
              <w:jc w:val="left"/>
            </w:pPr>
            <w:r>
              <w:rPr>
                <w:sz w:val="16"/>
              </w:rPr>
              <w:t xml:space="preserve">Simulated, nine jamming types</w:t>
            </w:r>
          </w:p>
        </w:tc>
        <w:tc>
          <w:tcPr>
            <w:vAlign w:val="center"/>
          </w:tcPr>
          <w:p>
            <w:pPr>
              <w:pStyle w:val="Compact"/>
              <w:spacing w:after="20"/>
              <w:jc w:val="left"/>
            </w:pPr>
            <w:r>
              <w:rPr>
                <w:sz w:val="16"/>
              </w:rPr>
              <w:t xml:space="preserve">Generic jamming in noise</w:t>
            </w:r>
          </w:p>
        </w:tc>
        <w:tc>
          <w:tcPr>
            <w:vAlign w:val="center"/>
          </w:tcPr>
          <w:p>
            <w:pPr>
              <w:pStyle w:val="Compact"/>
              <w:spacing w:after="20"/>
              <w:jc w:val="left"/>
            </w:pPr>
            <w:r>
              <w:rPr>
                <w:sz w:val="16"/>
              </w:rPr>
              <w:t xml:space="preserve">No figure quoted</w:t>
            </w:r>
          </w:p>
        </w:tc>
      </w:tr>
      <w:tr>
        <w:tc>
          <w:tcPr>
            <w:vAlign w:val="center"/>
          </w:tcPr>
          <w:p>
            <w:pPr>
              <w:pStyle w:val="Compact"/>
              <w:spacing w:after="20"/>
              <w:jc w:val="left"/>
            </w:pPr>
            <w:r>
              <w:rPr>
                <w:sz w:val="16"/>
              </w:rPr>
              <w:t>Ouyang [91]</w:t>
            </w:r>
          </w:p>
        </w:tc>
        <w:tc>
          <w:tcPr>
            <w:vAlign w:val="center"/>
          </w:tcPr>
          <w:p>
            <w:pPr>
              <w:pStyle w:val="Compact"/>
              <w:spacing w:after="20"/>
              <w:jc w:val="left"/>
            </w:pPr>
            <w:r>
              <w:rPr>
                <w:sz w:val="16"/>
              </w:rPr>
              <w:t xml:space="preserve">Open-set jamming recognition</w:t>
            </w:r>
          </w:p>
        </w:tc>
        <w:tc>
          <w:tcPr>
            <w:vAlign w:val="center"/>
          </w:tcPr>
          <w:p>
            <w:pPr>
              <w:pStyle w:val="Compact"/>
              <w:spacing w:after="20"/>
              <w:jc w:val="left"/>
            </w:pPr>
            <w:r>
              <w:rPr>
                <w:sz w:val="16"/>
              </w:rPr>
              <w:t xml:space="preserve">Compound jamming dataset</w:t>
            </w:r>
          </w:p>
        </w:tc>
        <w:tc>
          <w:tcPr>
            <w:vAlign w:val="center"/>
          </w:tcPr>
          <w:p>
            <w:pPr>
              <w:pStyle w:val="Compact"/>
              <w:spacing w:after="20"/>
              <w:jc w:val="left"/>
            </w:pPr>
            <w:r>
              <w:rPr>
                <w:sz w:val="16"/>
              </w:rPr>
              <w:t xml:space="preserve">Generic jamming</w:t>
            </w:r>
          </w:p>
        </w:tc>
        <w:tc>
          <w:tcPr>
            <w:vAlign w:val="center"/>
          </w:tcPr>
          <w:p>
            <w:pPr>
              <w:pStyle w:val="Compact"/>
              <w:spacing w:after="20"/>
              <w:jc w:val="left"/>
            </w:pPr>
            <w:r>
              <w:rPr>
                <w:sz w:val="16"/>
              </w:rPr>
              <w:t xml:space="preserve">No figure quoted</w:t>
            </w:r>
          </w:p>
        </w:tc>
      </w:tr>
      <w:tr>
        <w:tc>
          <w:tcPr>
            <w:vAlign w:val="center"/>
          </w:tcPr>
          <w:p>
            <w:pPr>
              <w:pStyle w:val="Compact"/>
              <w:spacing w:after="20"/>
              <w:jc w:val="left"/>
            </w:pPr>
            <w:r>
              <w:rPr>
                <w:sz w:val="16"/>
              </w:rPr>
              <w:t>Liu et al. [92] (preprint)</w:t>
            </w:r>
          </w:p>
        </w:tc>
        <w:tc>
          <w:tcPr>
            <w:vAlign w:val="center"/>
          </w:tcPr>
          <w:p>
            <w:pPr>
              <w:pStyle w:val="Compact"/>
              <w:spacing w:after="20"/>
              <w:jc w:val="left"/>
            </w:pPr>
            <w:r>
              <w:rPr>
                <w:sz w:val="16"/>
              </w:rPr>
              <w:t xml:space="preserve">Open-set radar jamming recognition</w:t>
            </w:r>
          </w:p>
        </w:tc>
        <w:tc>
          <w:tcPr>
            <w:vAlign w:val="center"/>
          </w:tcPr>
          <w:p>
            <w:pPr>
              <w:pStyle w:val="Compact"/>
              <w:spacing w:after="20"/>
              <w:jc w:val="left"/>
            </w:pPr>
            <w:r>
              <w:rPr>
                <w:sz w:val="16"/>
              </w:rPr>
              <w:t xml:space="preserve">Simulated</w:t>
            </w:r>
          </w:p>
        </w:tc>
        <w:tc>
          <w:tcPr>
            <w:vAlign w:val="center"/>
          </w:tcPr>
          <w:p>
            <w:pPr>
              <w:pStyle w:val="Compact"/>
              <w:spacing w:after="20"/>
              <w:jc w:val="left"/>
            </w:pPr>
            <w:r>
              <w:rPr>
                <w:sz w:val="16"/>
              </w:rPr>
              <w:t xml:space="preserve">Radar jamming</w:t>
            </w:r>
          </w:p>
        </w:tc>
        <w:tc>
          <w:tcPr>
            <w:vAlign w:val="center"/>
          </w:tcPr>
          <w:p>
            <w:pPr>
              <w:pStyle w:val="Compact"/>
              <w:spacing w:after="20"/>
              <w:jc w:val="left"/>
            </w:pPr>
            <w:r>
              <w:rPr>
                <w:sz w:val="16"/>
              </w:rPr>
              <w:t xml:space="preserve">No figure quoted</w:t>
            </w:r>
          </w:p>
        </w:tc>
      </w:tr>
      <w:tr>
        <w:tc>
          <w:tcPr>
            <w:vAlign w:val="center"/>
          </w:tcPr>
          <w:p>
            <w:pPr>
              <w:pStyle w:val="Compact"/>
              <w:spacing w:after="20"/>
              <w:jc w:val="left"/>
            </w:pPr>
            <w:r>
              <w:rPr>
                <w:sz w:val="16"/>
              </w:rPr>
              <w:t>Ott et al. [34], [102]</w:t>
            </w:r>
          </w:p>
        </w:tc>
        <w:tc>
          <w:tcPr>
            <w:vAlign w:val="center"/>
          </w:tcPr>
          <w:p>
            <w:pPr>
              <w:pStyle w:val="Compact"/>
              <w:spacing w:after="20"/>
              <w:jc w:val="left"/>
            </w:pPr>
            <w:r>
              <w:rPr>
                <w:sz w:val="16"/>
              </w:rPr>
              <w:t xml:space="preserve">GNSS interference classification</w:t>
            </w:r>
          </w:p>
        </w:tc>
        <w:tc>
          <w:tcPr>
            <w:vAlign w:val="center"/>
          </w:tcPr>
          <w:p>
            <w:pPr>
              <w:pStyle w:val="Compact"/>
              <w:spacing w:after="20"/>
              <w:jc w:val="left"/>
            </w:pPr>
            <w:r>
              <w:rPr>
                <w:sz w:val="16"/>
              </w:rPr>
              <w:t xml:space="preserve">Real highway recordings, 8 interference + 3 clean classes</w:t>
            </w:r>
          </w:p>
        </w:tc>
        <w:tc>
          <w:tcPr>
            <w:vAlign w:val="center"/>
          </w:tcPr>
          <w:p>
            <w:pPr>
              <w:pStyle w:val="Compact"/>
              <w:spacing w:after="20"/>
              <w:jc w:val="left"/>
            </w:pPr>
            <w:r>
              <w:rPr>
                <w:sz w:val="16"/>
              </w:rPr>
              <w:t xml:space="preserve">Real captures</w:t>
            </w:r>
          </w:p>
        </w:tc>
        <w:tc>
          <w:tcPr>
            <w:vAlign w:val="center"/>
          </w:tcPr>
          <w:p>
            <w:pPr>
              <w:pStyle w:val="Compact"/>
              <w:spacing w:after="20"/>
              <w:jc w:val="left"/>
            </w:pPr>
            <w:r>
              <w:rPr>
                <w:sz w:val="16"/>
              </w:rPr>
              <w:t xml:space="preserve">No figure quoted</w:t>
            </w:r>
          </w:p>
        </w:tc>
      </w:tr>
    </w:tbl>
    <w:p>
      <w:pPr>
        <w:pStyle w:val="BodyText"/>
      </w:pPr>
      <w:r>
        <w:t xml:space="preserve">Two patterns stand out. The satellite rows report detection, not recognition, and several simulated satellite rows use additive interference models; the real-data rows contain payload effects but cannot vary them. The open-set rows report rejection of unknown jamming, but none involves a satellite payload.</w:t>
      </w:r>
    </w:p>
    <w:p>
      <w:pPr>
        <w:pStyle w:val="BodyText"/>
      </w:pPr>
      <w:r>
        <w:t xml:space="preserve">Against this background, the three candidate contributions can be stated precisely.</w:t>
      </w:r>
    </w:p>
    <w:p>
      <w:pPr>
        <w:pStyle w:val="BodyText"/>
      </w:pPr>
      <w:r>
        <w:t>C1 — a proposed payload-aware, open-source data generator. The target is to extend the reference IMUX–TWTA–OMUX chain [56], [105], [106] with multicarrier loading and an IBO sweep, plus carrier-level cross-polar leakage on the uplink and downlink, downlink-entry interferers, carrier-plan metadata and a labelled interference catalogue. Following open dataset practice in GNSS [37], it should ship with fixed benchmark splits and randomized payload parameters.</w:t>
      </w:r>
    </w:p>
    <w:p>
      <w:pPr>
        <w:pStyle w:val="BodyText"/>
      </w:pPr>
      <w:r>
        <w:rPr>
          <w:bCs/>
          <w:b/>
        </w:rPr>
        <w:t xml:space="preserve">C2 — a plan-conditioned, dual-polarization open-set recognizer with an identifiability analysis.</w:t>
      </w:r>
      <w:r>
        <w:t xml:space="preserve"> </w:t>
      </w:r>
      <w:r>
        <w:t xml:space="preserve">Section 5 motivates dual-polarization observations for leakage tests, carrier-plan information for occupancy and intermodulation consistency, and cyclic features for some hidden-carrier regimes. The contrasts, inputs and outputs in Section 7.2 specify how their incremental value will be tested. A formal identifiability claim would additionally require defining equivalence classes of latent mechanisms under each observation operator and showing when their induced distributions differ. The present review proposes observability hypotheses and empirical confusion tests rather than such a proof.</w:t>
      </w:r>
    </w:p>
    <w:p>
      <w:pPr>
        <w:pStyle w:val="BodyText"/>
      </w:pPr>
      <w:r>
        <w:t>C3 — a quantified payload gap. Sim-to-real losses behind real RF hardware have been measured for generic signal classifiers [41], and Agon reports cross-dataset results that include a testbed with amplifier distortion [24]. Within the reviewed set, we did not identify an interference-recognition study that isolates the contribution of the transponder chain to such losses, or that measures how performance falls with distance from the training back-off, bandwidth and loading. Reporting this as a curve rather than a single number would give operators and later studies a concrete measure of what simulation fidelity buys.</w:t>
      </w:r>
    </w:p>
    <w:p>
      <w:pPr>
        <w:pStyle w:val="BodyText"/>
      </w:pPr>
      <w:r>
        <w:t>Three limits of the literature should be stated alongside these claims. Agon [24], the Eutelsat/CTTC operational work [6] and open-set jamming recognition [88] each overlap part of the problem, so the novelty lies in the joint treatment rather than in any single element. Most comparable GEO studies are simulation-based, and the real-data ones cannot vary the payload, so realism must be demonstrated through traceability to the DVB-S2X reference channel [105], measured amplifier data [63] and comparison with public datasets [100], [101]. And the interference statistics that motivate the work come from industry sources [1], [2], [3], [5], partly from 2005, not from peer-reviewed measurement. Finally, each frame is assumed to hold one interference event; compound events are left to a multi-label extension (Section 6).</w:t>
      </w:r>
    </w:p>
    <w:bookmarkEnd w:id="32"/>
    <w:bookmarkStart w:id="138" w:name="references"/>
    <w:p>
      <w:pPr>
        <w:pStyle w:val="Heading2"/>
      </w:pPr>
      <w:r>
        <w:t>9. Reproducibility boundaries and disclosure</w:t>
      </w:r>
    </w:p>
    <w:p>
      <w:pPr>
        <w:pStyle w:val="BodyText"/>
      </w:pPr>
      <w:r>
        <w:t>A comparison is considered reproducible only if source curve/version, code revision, interpolation and extrapolation policy, filter coefficients, carrier plan, total-mean TWTA input reference, normalization, detector window, frequency grid, seeds, split/group identifiers and metric denominator are recorded together. Reference amplifier curves extracted from informative ETSI figures are source-traceable engineering examples, not measurements of this project’s GEO payload. No historical numeric TWTA slope or reconstructed multicarrier PSD figure is reinstated here without the original source data and plotting procedure.</w:t>
      </w:r>
    </w:p>
    <w:p>
      <w:pPr>
        <w:pStyle w:val="BodyText"/>
      </w:pPr>
      <w:r>
        <w:t>A false-alarm probability quoted for independent single-look exponential CA-CFAR bins cannot automatically be interpreted as a frame-level alarm probability after Welch averaging, mask-based reference selection and correlated frequency bins. Spectral-correlation estimates require genuinely contiguous IQ windows; the Stage A intermittent 43-µs snapshots, separated by approximately 10 ms, must not be concatenated as if phase-contiguous. Open-set class scores, known-positive/unknown-positive definitions, score direction, thresholds and calibration roles must be recorded before held-out evaluation. A train-only scaler and a frozen, permitted calibration partition are separate requirements.</w:t>
      </w:r>
    </w:p>
    <w:p>
      <w:pPr>
        <w:pStyle w:val="BodyText"/>
      </w:pPr>
      <w:r>
        <w:t>Repository-scoped governance (recorded 24 October 2026): scientific selections K18, K17d, OBS-CANCEL/2 and D-1–D-8 are documented in the E9/E12 decisions, but these approvals expressly do not authorize production compute or test access. The D-2 dual-monitor input contract is conditional, D-3 defines an actually missing planned carrier, D-5 requires a preregistered receiver-level plan-error sensitivity design, D-7 restricts legacy test observation access, and D-8 requires a later production-metadata cross-check of its frozen-generator-derived identity. The document does not claim that any of those future tests has run or that a benchmark has been completed.</w:t>
      </w:r>
    </w:p>
    <w:p>
      <w:pPr>
        <w:pStyle w:val="Heading2"/>
      </w:pPr>
      <w:r>
        <w:t xml:space="preserve">References</w:t>
      </w:r>
    </w:p>
    <w:p>
      <w:pPr>
        <w:pStyle w:val="FirstParagraph"/>
      </w:pPr>
      <w:r>
        <w:t>Entries are cited as listed; the verification status of individual claims is recorded in the separate verification ledger. Trade-press and vendor sources [1], [2], [3], [5], [14], [15], [16], [17] are cited only for operator accounts and product capabilities and are not peer-reviewed.</w:t>
      </w:r>
    </w:p>
    <w:p>
      <w:pPr>
        <w:keepLines/>
        <w:spacing w:after="60"/>
        <w:ind w:left="360" w:hanging="360"/>
      </w:pPr>
      <w:r>
        <w:rPr>
          <w:sz w:val="17"/>
        </w:rPr>
        <w:t>[1] J. Bates,</w:t>
      </w:r>
      <w:r>
        <w:rPr>
          <w:sz w:val="17"/>
        </w:rPr>
        <w:t xml:space="preserve"> </w:t>
      </w:r>
      <w:r>
        <w:rPr>
          <w:sz w:val="17"/>
        </w:rPr>
        <w:t xml:space="preserve">“</w:t>
      </w:r>
      <w:r>
        <w:rPr>
          <w:sz w:val="17"/>
        </w:rPr>
        <w:t xml:space="preserve">Satellite operators target interference problem,</w:t>
      </w:r>
      <w:r>
        <w:rPr>
          <w:sz w:val="17"/>
        </w:rPr>
        <w:t xml:space="preserve">”</w:t>
      </w:r>
      <w:r>
        <w:rPr>
          <w:sz w:val="17"/>
        </w:rPr>
        <w:t xml:space="preserve"> </w:t>
      </w:r>
      <w:r>
        <w:rPr>
          <w:sz w:val="17"/>
        </w:rPr>
        <w:t xml:space="preserve">Via Satellite, 2005.</w:t>
      </w:r>
      <w:r>
        <w:rPr>
          <w:sz w:val="17"/>
        </w:rPr>
        <w:t xml:space="preserve"> </w:t>
      </w:r>
      <w:hyperlink r:id="rId33">
        <w:r>
          <w:rPr>
            <w:rStyle w:val="Hyperlink"/>
          </w:rPr>
          <w:t xml:space="preserve">Link</w:t>
        </w:r>
      </w:hyperlink>
    </w:p>
    <w:p>
      <w:pPr>
        <w:keepLines/>
        <w:spacing w:after="60"/>
        <w:ind w:left="360" w:hanging="360"/>
      </w:pPr>
      <w:r>
        <w:rPr>
          <w:sz w:val="17"/>
        </w:rPr>
        <w:t>[2] M. Coleman,</w:t>
      </w:r>
      <w:r>
        <w:rPr>
          <w:sz w:val="17"/>
        </w:rPr>
        <w:t xml:space="preserve"> </w:t>
      </w:r>
      <w:r>
        <w:rPr>
          <w:sz w:val="17"/>
        </w:rPr>
        <w:t xml:space="preserve">“</w:t>
      </w:r>
      <w:r>
        <w:rPr>
          <w:sz w:val="17"/>
        </w:rPr>
        <w:t xml:space="preserve">Tackling satellite interference,</w:t>
      </w:r>
      <w:r>
        <w:rPr>
          <w:sz w:val="17"/>
        </w:rPr>
        <w:t xml:space="preserve">”</w:t>
      </w:r>
      <w:r>
        <w:rPr>
          <w:sz w:val="17"/>
        </w:rPr>
        <w:t xml:space="preserve"> </w:t>
      </w:r>
      <w:r>
        <w:rPr>
          <w:sz w:val="17"/>
        </w:rPr>
        <w:t xml:space="preserve">Microwave Journal, 2012.</w:t>
      </w:r>
      <w:r>
        <w:rPr>
          <w:sz w:val="17"/>
        </w:rPr>
        <w:t xml:space="preserve"> </w:t>
      </w:r>
      <w:hyperlink r:id="rId34">
        <w:r>
          <w:rPr>
            <w:rStyle w:val="Hyperlink"/>
          </w:rPr>
          <w:t xml:space="preserve">Link</w:t>
        </w:r>
      </w:hyperlink>
    </w:p>
    <w:p>
      <w:pPr>
        <w:keepLines/>
        <w:spacing w:after="60"/>
        <w:ind w:left="360" w:hanging="360"/>
      </w:pPr>
      <w:r>
        <w:rPr>
          <w:sz w:val="17"/>
        </w:rPr>
        <w:t>[3] Kratos,</w:t>
      </w:r>
      <w:r>
        <w:rPr>
          <w:sz w:val="17"/>
        </w:rPr>
        <w:t xml:space="preserve"> </w:t>
      </w:r>
      <w:r>
        <w:rPr>
          <w:sz w:val="17"/>
        </w:rPr>
        <w:t xml:space="preserve">“</w:t>
      </w:r>
      <w:r>
        <w:rPr>
          <w:sz w:val="17"/>
        </w:rPr>
        <w:t xml:space="preserve">Complete VSAT interference mitigation,</w:t>
      </w:r>
      <w:r>
        <w:rPr>
          <w:sz w:val="17"/>
        </w:rPr>
        <w:t xml:space="preserve">”</w:t>
      </w:r>
      <w:r>
        <w:rPr>
          <w:sz w:val="17"/>
        </w:rPr>
        <w:t xml:space="preserve"> </w:t>
      </w:r>
      <w:r>
        <w:rPr>
          <w:sz w:val="17"/>
        </w:rPr>
        <w:t xml:space="preserve">fact sheet.</w:t>
      </w:r>
      <w:r>
        <w:rPr>
          <w:sz w:val="17"/>
        </w:rPr>
        <w:t xml:space="preserve"> </w:t>
      </w:r>
      <w:hyperlink r:id="rId35">
        <w:r>
          <w:rPr>
            <w:rStyle w:val="Hyperlink"/>
          </w:rPr>
          <w:t xml:space="preserve">Link</w:t>
        </w:r>
      </w:hyperlink>
    </w:p>
    <w:p>
      <w:pPr>
        <w:keepLines/>
        <w:spacing w:after="60"/>
        <w:ind w:left="360" w:hanging="360"/>
      </w:pPr>
      <w:r>
        <w:rPr>
          <w:sz w:val="17"/>
        </w:rPr>
        <w:t>[4] M. Á. Vázquez, P. Henarejos, A. I. Pérez-Neira, E. Grechi, A. Voight, J. C. Gil, I. Pappalardo, F. Di Credico, R. M. Lancellotti,</w:t>
      </w:r>
      <w:r>
        <w:rPr>
          <w:sz w:val="17"/>
        </w:rPr>
        <w:t xml:space="preserve"> </w:t>
      </w:r>
      <w:r>
        <w:rPr>
          <w:sz w:val="17"/>
        </w:rPr>
        <w:t xml:space="preserve">“</w:t>
      </w:r>
      <w:r>
        <w:rPr>
          <w:sz w:val="17"/>
        </w:rPr>
        <w:t xml:space="preserve">On the use of AI for satellite communications,</w:t>
      </w:r>
      <w:r>
        <w:rPr>
          <w:sz w:val="17"/>
        </w:rPr>
        <w:t xml:space="preserve">”</w:t>
      </w:r>
      <w:r>
        <w:rPr>
          <w:sz w:val="17"/>
        </w:rPr>
        <w:t xml:space="preserve"> </w:t>
      </w:r>
      <w:r>
        <w:rPr>
          <w:sz w:val="17"/>
        </w:rPr>
        <w:t xml:space="preserve">IEEE ComSoc SSC Newsletter, 2019, arXiv:2007.10110.</w:t>
      </w:r>
      <w:r>
        <w:rPr>
          <w:sz w:val="17"/>
        </w:rPr>
        <w:t xml:space="preserve"> </w:t>
      </w:r>
      <w:hyperlink r:id="rId36">
        <w:r>
          <w:rPr>
            <w:rStyle w:val="Hyperlink"/>
          </w:rPr>
          <w:t xml:space="preserve">Open access</w:t>
        </w:r>
      </w:hyperlink>
    </w:p>
    <w:p>
      <w:pPr>
        <w:keepLines/>
        <w:spacing w:after="60"/>
        <w:ind w:left="360" w:hanging="360"/>
      </w:pPr>
      <w:r>
        <w:rPr>
          <w:sz w:val="17"/>
        </w:rPr>
        <w:t>[5] Kratos,</w:t>
      </w:r>
      <w:r>
        <w:rPr>
          <w:sz w:val="17"/>
        </w:rPr>
        <w:t xml:space="preserve"> </w:t>
      </w:r>
      <w:r>
        <w:rPr>
          <w:sz w:val="17"/>
        </w:rPr>
        <w:t xml:space="preserve">“</w:t>
      </w:r>
      <w:r>
        <w:rPr>
          <w:sz w:val="17"/>
        </w:rPr>
        <w:t xml:space="preserve">Kratos KnownSpace detects sustained Iran origin RF interference targeting GEO communications,</w:t>
      </w:r>
      <w:r>
        <w:rPr>
          <w:sz w:val="17"/>
        </w:rPr>
        <w:t xml:space="preserve">”</w:t>
      </w:r>
      <w:r>
        <w:rPr>
          <w:sz w:val="17"/>
        </w:rPr>
        <w:t xml:space="preserve"> </w:t>
      </w:r>
      <w:r>
        <w:rPr>
          <w:sz w:val="17"/>
        </w:rPr>
        <w:t xml:space="preserve">press release, 2026.</w:t>
      </w:r>
      <w:r>
        <w:rPr>
          <w:sz w:val="17"/>
        </w:rPr>
        <w:t xml:space="preserve"> </w:t>
      </w:r>
      <w:hyperlink r:id="rId37">
        <w:r>
          <w:rPr>
            <w:rStyle w:val="Hyperlink"/>
          </w:rPr>
          <w:t xml:space="preserve">Link</w:t>
        </w:r>
      </w:hyperlink>
    </w:p>
    <w:p>
      <w:pPr>
        <w:keepLines/>
        <w:spacing w:after="60"/>
        <w:ind w:left="360" w:hanging="360"/>
      </w:pPr>
      <w:r>
        <w:rPr>
          <w:sz w:val="17"/>
        </w:rPr>
        <w:t>[6] M. Á. Vázquez, P. Henarejos, I. Pappalardo, E. Grechi, J. Fort, J. C. Gil, R. M. Lancellotti,</w:t>
      </w:r>
      <w:r>
        <w:rPr>
          <w:sz w:val="17"/>
        </w:rPr>
        <w:t xml:space="preserve"> </w:t>
      </w:r>
      <w:r>
        <w:rPr>
          <w:sz w:val="17"/>
        </w:rPr>
        <w:t xml:space="preserve">“</w:t>
      </w:r>
      <w:r>
        <w:rPr>
          <w:sz w:val="17"/>
        </w:rPr>
        <w:t xml:space="preserve">Machine learning for satellite communications operations,</w:t>
      </w:r>
      <w:r>
        <w:rPr>
          <w:sz w:val="17"/>
        </w:rPr>
        <w:t xml:space="preserve">”</w:t>
      </w:r>
      <w:r>
        <w:rPr>
          <w:sz w:val="17"/>
        </w:rPr>
        <w:t xml:space="preserve"> </w:t>
      </w:r>
      <w:r>
        <w:rPr>
          <w:sz w:val="17"/>
        </w:rPr>
        <w:t xml:space="preserve">IEEE Commun. Mag., vol. 59, no. 2, pp. 22-27, 2021, doi: 10.1109/MCOM.001.2000367.</w:t>
      </w:r>
      <w:r>
        <w:rPr>
          <w:sz w:val="17"/>
        </w:rPr>
        <w:t xml:space="preserve"> </w:t>
      </w:r>
      <w:hyperlink r:id="rId38">
        <w:r>
          <w:rPr>
            <w:rStyle w:val="Hyperlink"/>
          </w:rPr>
          <w:t xml:space="preserve">DOI</w:t>
        </w:r>
      </w:hyperlink>
    </w:p>
    <w:p>
      <w:pPr>
        <w:keepLines/>
        <w:spacing w:after="60"/>
        <w:ind w:left="360" w:hanging="360"/>
      </w:pPr>
      <w:r>
        <w:rPr>
          <w:sz w:val="17"/>
        </w:rPr>
        <w:t>[7] A. I. Pérez-Neira, M. Á. Vázquez, S. Maleki, M. R. B. Shankar, S. Chatzinotas,</w:t>
      </w:r>
      <w:r>
        <w:rPr>
          <w:sz w:val="17"/>
        </w:rPr>
        <w:t xml:space="preserve"> </w:t>
      </w:r>
      <w:r>
        <w:rPr>
          <w:sz w:val="17"/>
        </w:rPr>
        <w:t xml:space="preserve">“</w:t>
      </w:r>
      <w:r>
        <w:rPr>
          <w:sz w:val="17"/>
        </w:rPr>
        <w:t xml:space="preserve">Signal processing for high throughput satellite systems: Challenges in new interference-limited scenarios,</w:t>
      </w:r>
      <w:r>
        <w:rPr>
          <w:sz w:val="17"/>
        </w:rPr>
        <w:t xml:space="preserve">”</w:t>
      </w:r>
      <w:r>
        <w:rPr>
          <w:sz w:val="17"/>
        </w:rPr>
        <w:t xml:space="preserve"> </w:t>
      </w:r>
      <w:r>
        <w:rPr>
          <w:sz w:val="17"/>
        </w:rPr>
        <w:t xml:space="preserve">arXiv:1802.03958, 2018.</w:t>
      </w:r>
      <w:r>
        <w:rPr>
          <w:sz w:val="17"/>
        </w:rPr>
        <w:t xml:space="preserve"> </w:t>
      </w:r>
      <w:hyperlink r:id="rId39">
        <w:r>
          <w:rPr>
            <w:rStyle w:val="Hyperlink"/>
          </w:rPr>
          <w:t xml:space="preserve">Open access</w:t>
        </w:r>
      </w:hyperlink>
    </w:p>
    <w:p>
      <w:pPr>
        <w:keepLines/>
        <w:spacing w:after="60"/>
        <w:ind w:left="360" w:hanging="360"/>
      </w:pPr>
      <w:r>
        <w:rPr>
          <w:sz w:val="17"/>
        </w:rPr>
        <w:t>[8] C. Politis, S. Maleki, C. Tsinos, S. Chatzinotas, B. Ottersten,</w:t>
      </w:r>
      <w:r>
        <w:rPr>
          <w:sz w:val="17"/>
        </w:rPr>
        <w:t xml:space="preserve"> </w:t>
      </w:r>
      <w:r>
        <w:rPr>
          <w:sz w:val="17"/>
        </w:rPr>
        <w:t xml:space="preserve">“</w:t>
      </w:r>
      <w:r>
        <w:rPr>
          <w:sz w:val="17"/>
        </w:rPr>
        <w:t xml:space="preserve">On-board the satellite interference detection with imperfect signal cancellation,</w:t>
      </w:r>
      <w:r>
        <w:rPr>
          <w:sz w:val="17"/>
        </w:rPr>
        <w:t xml:space="preserve">”</w:t>
      </w:r>
      <w:r>
        <w:rPr>
          <w:sz w:val="17"/>
        </w:rPr>
        <w:t xml:space="preserve"> </w:t>
      </w:r>
      <w:r>
        <w:rPr>
          <w:sz w:val="17"/>
        </w:rPr>
        <w:t xml:space="preserve">Proc. IEEE SPAWC, pp. 1-5, 2016, doi: 10.1109/SPAWC.2016.7536813.</w:t>
      </w:r>
      <w:r>
        <w:rPr>
          <w:sz w:val="17"/>
        </w:rPr>
        <w:t xml:space="preserve"> </w:t>
      </w:r>
      <w:hyperlink r:id="rId40">
        <w:r>
          <w:rPr>
            <w:rStyle w:val="Hyperlink"/>
          </w:rPr>
          <w:t xml:space="preserve">DOI</w:t>
        </w:r>
      </w:hyperlink>
    </w:p>
    <w:p>
      <w:pPr>
        <w:keepLines/>
        <w:spacing w:after="60"/>
        <w:ind w:left="360" w:hanging="360"/>
      </w:pPr>
      <w:r>
        <w:rPr>
          <w:sz w:val="17"/>
        </w:rPr>
        <w:t>[9] C. Politis, S. Maleki, C. Tsinos, S. Chatzinotas, B. Ottersten,</w:t>
      </w:r>
      <w:r>
        <w:rPr>
          <w:sz w:val="17"/>
        </w:rPr>
        <w:t xml:space="preserve"> </w:t>
      </w:r>
      <w:r>
        <w:rPr>
          <w:sz w:val="17"/>
        </w:rPr>
        <w:t xml:space="preserve">“</w:t>
      </w:r>
      <w:r>
        <w:rPr>
          <w:sz w:val="17"/>
        </w:rPr>
        <w:t xml:space="preserve">Weak interference detection with signal cancellation in satellite communications,</w:t>
      </w:r>
      <w:r>
        <w:rPr>
          <w:sz w:val="17"/>
        </w:rPr>
        <w:t xml:space="preserve">”</w:t>
      </w:r>
      <w:r>
        <w:rPr>
          <w:sz w:val="17"/>
        </w:rPr>
        <w:t xml:space="preserve"> </w:t>
      </w:r>
      <w:r>
        <w:rPr>
          <w:sz w:val="17"/>
        </w:rPr>
        <w:t xml:space="preserve">Proc. IEEE ICASSP, pp. 6289-6293, 2017, doi: 10.1109/ICASSP.2017.7953366.</w:t>
      </w:r>
      <w:r>
        <w:rPr>
          <w:sz w:val="17"/>
        </w:rPr>
        <w:t xml:space="preserve"> </w:t>
      </w:r>
      <w:hyperlink r:id="rId41">
        <w:r>
          <w:rPr>
            <w:rStyle w:val="Hyperlink"/>
          </w:rPr>
          <w:t xml:space="preserve">Link</w:t>
        </w:r>
      </w:hyperlink>
    </w:p>
    <w:p>
      <w:pPr>
        <w:keepLines/>
        <w:spacing w:after="60"/>
        <w:ind w:left="360" w:hanging="360"/>
      </w:pPr>
      <w:r>
        <w:rPr>
          <w:sz w:val="17"/>
        </w:rPr>
        <w:t>[10] H. M. Finn, R. S. Johnson,</w:t>
      </w:r>
      <w:r>
        <w:rPr>
          <w:sz w:val="17"/>
        </w:rPr>
        <w:t xml:space="preserve"> </w:t>
      </w:r>
      <w:r>
        <w:rPr>
          <w:sz w:val="17"/>
        </w:rPr>
        <w:t xml:space="preserve">“</w:t>
      </w:r>
      <w:r>
        <w:rPr>
          <w:sz w:val="17"/>
        </w:rPr>
        <w:t xml:space="preserve">Adaptive detection mode with threshold control as a function of spatially sampled clutter-level estimates,</w:t>
      </w:r>
      <w:r>
        <w:rPr>
          <w:sz w:val="17"/>
        </w:rPr>
        <w:t xml:space="preserve">”</w:t>
      </w:r>
      <w:r>
        <w:rPr>
          <w:sz w:val="17"/>
        </w:rPr>
        <w:t xml:space="preserve"> </w:t>
      </w:r>
      <w:r>
        <w:rPr>
          <w:sz w:val="17"/>
        </w:rPr>
        <w:t xml:space="preserve">RCA Review, vol. 29, no. 3, pp. 414-464, 1968.</w:t>
      </w:r>
    </w:p>
    <w:p>
      <w:pPr>
        <w:keepLines/>
        <w:spacing w:after="60"/>
        <w:ind w:left="360" w:hanging="360"/>
      </w:pPr>
      <w:r>
        <w:rPr>
          <w:sz w:val="17"/>
        </w:rPr>
        <w:t>[11] W. A. Gardner,</w:t>
      </w:r>
      <w:r>
        <w:rPr>
          <w:sz w:val="17"/>
        </w:rPr>
        <w:t xml:space="preserve"> </w:t>
      </w:r>
      <w:r>
        <w:rPr>
          <w:sz w:val="17"/>
        </w:rPr>
        <w:t xml:space="preserve">“</w:t>
      </w:r>
      <w:r>
        <w:rPr>
          <w:sz w:val="17"/>
        </w:rPr>
        <w:t xml:space="preserve">Exploitation of spectral redundancy in cyclostationary signals,</w:t>
      </w:r>
      <w:r>
        <w:rPr>
          <w:sz w:val="17"/>
        </w:rPr>
        <w:t xml:space="preserve">”</w:t>
      </w:r>
      <w:r>
        <w:rPr>
          <w:sz w:val="17"/>
        </w:rPr>
        <w:t xml:space="preserve"> </w:t>
      </w:r>
      <w:r>
        <w:rPr>
          <w:sz w:val="17"/>
        </w:rPr>
        <w:t xml:space="preserve">IEEE Signal Process. Mag., vol. 8, no. 2, pp. 14-36, 1991, doi: 10.1109/79.81007.</w:t>
      </w:r>
      <w:r>
        <w:rPr>
          <w:sz w:val="17"/>
        </w:rPr>
        <w:t xml:space="preserve"> </w:t>
      </w:r>
      <w:hyperlink r:id="rId42">
        <w:r>
          <w:rPr>
            <w:rStyle w:val="Hyperlink"/>
          </w:rPr>
          <w:t xml:space="preserve">DOI</w:t>
        </w:r>
      </w:hyperlink>
    </w:p>
    <w:p>
      <w:pPr>
        <w:keepLines/>
        <w:spacing w:after="60"/>
        <w:ind w:left="360" w:hanging="360"/>
      </w:pPr>
      <w:r>
        <w:rPr>
          <w:sz w:val="17"/>
        </w:rPr>
        <w:t>[12] B. Kim, H. Yu, S. Noh,</w:t>
      </w:r>
      <w:r>
        <w:rPr>
          <w:sz w:val="17"/>
        </w:rPr>
        <w:t xml:space="preserve"> </w:t>
      </w:r>
      <w:r>
        <w:rPr>
          <w:sz w:val="17"/>
        </w:rPr>
        <w:t xml:space="preserve">“</w:t>
      </w:r>
      <w:r>
        <w:rPr>
          <w:sz w:val="17"/>
        </w:rPr>
        <w:t xml:space="preserve">Cognitive interference cancellation with digital channelizer for satellite communication,</w:t>
      </w:r>
      <w:r>
        <w:rPr>
          <w:sz w:val="17"/>
        </w:rPr>
        <w:t xml:space="preserve">”</w:t>
      </w:r>
      <w:r>
        <w:rPr>
          <w:sz w:val="17"/>
        </w:rPr>
        <w:t xml:space="preserve"> </w:t>
      </w:r>
      <w:r>
        <w:rPr>
          <w:sz w:val="17"/>
        </w:rPr>
        <w:t xml:space="preserve">Sensors, vol. 20, no. 2, art. 355, 2020, doi: 10.3390/s20020355.</w:t>
      </w:r>
      <w:r>
        <w:rPr>
          <w:sz w:val="17"/>
        </w:rPr>
        <w:t xml:space="preserve"> </w:t>
      </w:r>
      <w:hyperlink r:id="rId43">
        <w:r>
          <w:rPr>
            <w:rStyle w:val="Hyperlink"/>
          </w:rPr>
          <w:t xml:space="preserve">Link</w:t>
        </w:r>
      </w:hyperlink>
    </w:p>
    <w:p>
      <w:pPr>
        <w:keepLines/>
        <w:spacing w:after="60"/>
        <w:ind w:left="360" w:hanging="360"/>
      </w:pPr>
      <w:r>
        <w:rPr>
          <w:sz w:val="17"/>
        </w:rPr>
        <w:t>[13] ITU-R,</w:t>
      </w:r>
      <w:r>
        <w:rPr>
          <w:sz w:val="17"/>
        </w:rPr>
        <w:t xml:space="preserve"> </w:t>
      </w:r>
      <w:r>
        <w:rPr>
          <w:sz w:val="17"/>
        </w:rPr>
        <w:t xml:space="preserve">“</w:t>
      </w:r>
      <w:r>
        <w:rPr>
          <w:sz w:val="17"/>
        </w:rPr>
        <w:t xml:space="preserve">Carrier identification system for FSS occasional use earth station transmissions,</w:t>
      </w:r>
      <w:r>
        <w:rPr>
          <w:sz w:val="17"/>
        </w:rPr>
        <w:t xml:space="preserve">”</w:t>
      </w:r>
      <w:r>
        <w:rPr>
          <w:sz w:val="17"/>
        </w:rPr>
        <w:t xml:space="preserve"> </w:t>
      </w:r>
      <w:r>
        <w:rPr>
          <w:sz w:val="17"/>
        </w:rPr>
        <w:t xml:space="preserve">Recommendation S.2062-0, 2014.</w:t>
      </w:r>
      <w:r>
        <w:rPr>
          <w:sz w:val="17"/>
        </w:rPr>
        <w:t xml:space="preserve"> </w:t>
      </w:r>
      <w:hyperlink r:id="rId44">
        <w:r>
          <w:rPr>
            <w:rStyle w:val="Hyperlink"/>
          </w:rPr>
          <w:t xml:space="preserve">Link</w:t>
        </w:r>
      </w:hyperlink>
    </w:p>
    <w:p>
      <w:pPr>
        <w:keepLines/>
        <w:spacing w:after="60"/>
        <w:ind w:left="360" w:hanging="360"/>
      </w:pPr>
      <w:r>
        <w:rPr>
          <w:sz w:val="17"/>
        </w:rPr>
        <w:t>[14] B. Potter,</w:t>
      </w:r>
      <w:r>
        <w:rPr>
          <w:sz w:val="17"/>
        </w:rPr>
        <w:t xml:space="preserve"> </w:t>
      </w:r>
      <w:r>
        <w:rPr>
          <w:sz w:val="17"/>
        </w:rPr>
        <w:t xml:space="preserve">“</w:t>
      </w:r>
      <w:r>
        <w:rPr>
          <w:sz w:val="17"/>
        </w:rPr>
        <w:t xml:space="preserve">Preventing adjacent satellite interference,</w:t>
      </w:r>
      <w:r>
        <w:rPr>
          <w:sz w:val="17"/>
        </w:rPr>
        <w:t xml:space="preserve">”</w:t>
      </w:r>
      <w:r>
        <w:rPr>
          <w:sz w:val="17"/>
        </w:rPr>
        <w:t xml:space="preserve"> </w:t>
      </w:r>
      <w:r>
        <w:rPr>
          <w:sz w:val="17"/>
        </w:rPr>
        <w:t xml:space="preserve">Via Satellite, 2014.</w:t>
      </w:r>
      <w:r>
        <w:rPr>
          <w:sz w:val="17"/>
        </w:rPr>
        <w:t xml:space="preserve"> </w:t>
      </w:r>
      <w:hyperlink r:id="rId45">
        <w:r>
          <w:rPr>
            <w:rStyle w:val="Hyperlink"/>
          </w:rPr>
          <w:t xml:space="preserve">Link</w:t>
        </w:r>
      </w:hyperlink>
    </w:p>
    <w:p>
      <w:pPr>
        <w:keepLines/>
        <w:spacing w:after="60"/>
        <w:ind w:left="360" w:hanging="360"/>
      </w:pPr>
      <w:r>
        <w:rPr>
          <w:sz w:val="17"/>
        </w:rPr>
        <w:t>[15] Rohde &amp; Schwarz,</w:t>
      </w:r>
      <w:r>
        <w:rPr>
          <w:sz w:val="17"/>
        </w:rPr>
        <w:t xml:space="preserve"> </w:t>
      </w:r>
      <w:r>
        <w:rPr>
          <w:sz w:val="17"/>
        </w:rPr>
        <w:t xml:space="preserve">“</w:t>
      </w:r>
      <w:r>
        <w:rPr>
          <w:sz w:val="17"/>
        </w:rPr>
        <w:t xml:space="preserve">R&amp;S GSACSM communications system monitoring,</w:t>
      </w:r>
      <w:r>
        <w:rPr>
          <w:sz w:val="17"/>
        </w:rPr>
        <w:t xml:space="preserve">”</w:t>
      </w:r>
      <w:r>
        <w:rPr>
          <w:sz w:val="17"/>
        </w:rPr>
        <w:t xml:space="preserve"> </w:t>
      </w:r>
      <w:r>
        <w:rPr>
          <w:sz w:val="17"/>
        </w:rPr>
        <w:t xml:space="preserve">product page.</w:t>
      </w:r>
      <w:r>
        <w:rPr>
          <w:sz w:val="17"/>
        </w:rPr>
        <w:t xml:space="preserve"> </w:t>
      </w:r>
      <w:hyperlink r:id="rId46">
        <w:r>
          <w:rPr>
            <w:rStyle w:val="Hyperlink"/>
          </w:rPr>
          <w:t xml:space="preserve">Link</w:t>
        </w:r>
      </w:hyperlink>
    </w:p>
    <w:p>
      <w:pPr>
        <w:keepLines/>
        <w:spacing w:after="60"/>
        <w:ind w:left="360" w:hanging="360"/>
      </w:pPr>
      <w:r>
        <w:rPr>
          <w:sz w:val="17"/>
        </w:rPr>
        <w:t>[16] Integrasys,</w:t>
      </w:r>
      <w:r>
        <w:rPr>
          <w:sz w:val="17"/>
        </w:rPr>
        <w:t xml:space="preserve"> </w:t>
      </w:r>
      <w:r>
        <w:rPr>
          <w:sz w:val="17"/>
        </w:rPr>
        <w:t xml:space="preserve">“</w:t>
      </w:r>
      <w:r>
        <w:rPr>
          <w:sz w:val="17"/>
        </w:rPr>
        <w:t xml:space="preserve">VectorSat interference detection,</w:t>
      </w:r>
      <w:r>
        <w:rPr>
          <w:sz w:val="17"/>
        </w:rPr>
        <w:t xml:space="preserve">”</w:t>
      </w:r>
      <w:r>
        <w:rPr>
          <w:sz w:val="17"/>
        </w:rPr>
        <w:t xml:space="preserve"> </w:t>
      </w:r>
      <w:r>
        <w:rPr>
          <w:sz w:val="17"/>
        </w:rPr>
        <w:t xml:space="preserve">product page.</w:t>
      </w:r>
      <w:r>
        <w:rPr>
          <w:sz w:val="17"/>
        </w:rPr>
        <w:t xml:space="preserve"> </w:t>
      </w:r>
      <w:hyperlink r:id="rId47">
        <w:r>
          <w:rPr>
            <w:rStyle w:val="Hyperlink"/>
          </w:rPr>
          <w:t xml:space="preserve">Link</w:t>
        </w:r>
      </w:hyperlink>
    </w:p>
    <w:p>
      <w:pPr>
        <w:keepLines/>
        <w:spacing w:after="60"/>
        <w:ind w:left="360" w:hanging="360"/>
      </w:pPr>
      <w:r>
        <w:rPr>
          <w:sz w:val="17"/>
        </w:rPr>
        <w:t>[17] Calian,</w:t>
      </w:r>
      <w:r>
        <w:rPr>
          <w:sz w:val="17"/>
        </w:rPr>
        <w:t xml:space="preserve"> </w:t>
      </w:r>
      <w:r>
        <w:rPr>
          <w:sz w:val="17"/>
        </w:rPr>
        <w:t xml:space="preserve">“</w:t>
      </w:r>
      <w:r>
        <w:rPr>
          <w:sz w:val="17"/>
        </w:rPr>
        <w:t xml:space="preserve">Decimator carrier-under-carrier detection,</w:t>
      </w:r>
      <w:r>
        <w:rPr>
          <w:sz w:val="17"/>
        </w:rPr>
        <w:t xml:space="preserve">”</w:t>
      </w:r>
      <w:r>
        <w:rPr>
          <w:sz w:val="17"/>
        </w:rPr>
        <w:t xml:space="preserve"> </w:t>
      </w:r>
      <w:r>
        <w:rPr>
          <w:sz w:val="17"/>
        </w:rPr>
        <w:t xml:space="preserve">product page.</w:t>
      </w:r>
      <w:r>
        <w:rPr>
          <w:sz w:val="17"/>
        </w:rPr>
        <w:t xml:space="preserve"> </w:t>
      </w:r>
      <w:hyperlink r:id="rId48">
        <w:r>
          <w:rPr>
            <w:rStyle w:val="Hyperlink"/>
          </w:rPr>
          <w:t xml:space="preserve">Link</w:t>
        </w:r>
      </w:hyperlink>
    </w:p>
    <w:p>
      <w:pPr>
        <w:keepLines/>
        <w:spacing w:after="60"/>
        <w:ind w:left="360" w:hanging="360"/>
      </w:pPr>
      <w:r>
        <w:rPr>
          <w:sz w:val="17"/>
        </w:rPr>
        <w:t>[18] P. Henarejos, M. Á. Vázquez, A. I. Pérez-Neira,</w:t>
      </w:r>
      <w:r>
        <w:rPr>
          <w:sz w:val="17"/>
        </w:rPr>
        <w:t xml:space="preserve"> </w:t>
      </w:r>
      <w:r>
        <w:rPr>
          <w:sz w:val="17"/>
        </w:rPr>
        <w:t xml:space="preserve">“</w:t>
      </w:r>
      <w:r>
        <w:rPr>
          <w:sz w:val="17"/>
        </w:rPr>
        <w:t xml:space="preserve">Deep learning for experimental hybrid terrestrial and satellite interference management,</w:t>
      </w:r>
      <w:r>
        <w:rPr>
          <w:sz w:val="17"/>
        </w:rPr>
        <w:t xml:space="preserve">”</w:t>
      </w:r>
      <w:r>
        <w:rPr>
          <w:sz w:val="17"/>
        </w:rPr>
        <w:t xml:space="preserve"> </w:t>
      </w:r>
      <w:r>
        <w:rPr>
          <w:sz w:val="17"/>
        </w:rPr>
        <w:t xml:space="preserve">Proc. IEEE SPAWC, pp. 1-5, 2019, doi: 10.1109/SPAWC.2019.8815532, arXiv:1906.03012.</w:t>
      </w:r>
      <w:r>
        <w:rPr>
          <w:sz w:val="17"/>
        </w:rPr>
        <w:t xml:space="preserve"> </w:t>
      </w:r>
      <w:hyperlink r:id="rId49">
        <w:r>
          <w:rPr>
            <w:rStyle w:val="Hyperlink"/>
          </w:rPr>
          <w:t xml:space="preserve">Open access</w:t>
        </w:r>
      </w:hyperlink>
    </w:p>
    <w:p>
      <w:pPr>
        <w:keepLines/>
        <w:spacing w:after="60"/>
        <w:ind w:left="360" w:hanging="360"/>
      </w:pPr>
      <w:r>
        <w:rPr>
          <w:sz w:val="17"/>
        </w:rPr>
        <w:t>[19] L. Pellaco, N. Singh, J. Jaldén,</w:t>
      </w:r>
      <w:r>
        <w:rPr>
          <w:sz w:val="17"/>
        </w:rPr>
        <w:t xml:space="preserve"> </w:t>
      </w:r>
      <w:r>
        <w:rPr>
          <w:sz w:val="17"/>
        </w:rPr>
        <w:t xml:space="preserve">“</w:t>
      </w:r>
      <w:r>
        <w:rPr>
          <w:sz w:val="17"/>
        </w:rPr>
        <w:t xml:space="preserve">Spectrum prediction and interference detection for satellite communications,</w:t>
      </w:r>
      <w:r>
        <w:rPr>
          <w:sz w:val="17"/>
        </w:rPr>
        <w:t xml:space="preserve">”</w:t>
      </w:r>
      <w:r>
        <w:rPr>
          <w:sz w:val="17"/>
        </w:rPr>
        <w:t xml:space="preserve"> </w:t>
      </w:r>
      <w:r>
        <w:rPr>
          <w:sz w:val="17"/>
        </w:rPr>
        <w:t xml:space="preserve">Proc. ICSSC, 2019, arXiv:1912.04716.</w:t>
      </w:r>
      <w:r>
        <w:rPr>
          <w:sz w:val="17"/>
        </w:rPr>
        <w:t xml:space="preserve"> </w:t>
      </w:r>
      <w:hyperlink r:id="rId50">
        <w:r>
          <w:rPr>
            <w:rStyle w:val="Hyperlink"/>
          </w:rPr>
          <w:t xml:space="preserve">Open access</w:t>
        </w:r>
      </w:hyperlink>
    </w:p>
    <w:p>
      <w:pPr>
        <w:keepLines/>
        <w:spacing w:after="60"/>
        <w:ind w:left="360" w:hanging="360"/>
      </w:pPr>
      <w:r>
        <w:rPr>
          <w:sz w:val="17"/>
        </w:rPr>
        <w:t>[20] S. Daoud, G. Eappen, F. Ortiz, E. Lagunas, W. Martins, S. Chatzinotas,</w:t>
      </w:r>
      <w:r>
        <w:rPr>
          <w:sz w:val="17"/>
        </w:rPr>
        <w:t xml:space="preserve"> </w:t>
      </w:r>
      <w:r>
        <w:rPr>
          <w:sz w:val="17"/>
        </w:rPr>
        <w:t xml:space="preserve">“</w:t>
      </w:r>
      <w:r>
        <w:rPr>
          <w:sz w:val="17"/>
        </w:rPr>
        <w:t xml:space="preserve">CNN-based on-board interference detection in satellite systems: An analysis of dataset impact on performance,</w:t>
      </w:r>
      <w:r>
        <w:rPr>
          <w:sz w:val="17"/>
        </w:rPr>
        <w:t xml:space="preserve">”</w:t>
      </w:r>
      <w:r>
        <w:rPr>
          <w:sz w:val="17"/>
        </w:rPr>
        <w:t xml:space="preserve"> </w:t>
      </w:r>
      <w:r>
        <w:rPr>
          <w:sz w:val="17"/>
        </w:rPr>
        <w:t xml:space="preserve">Proc. IEEE ICASSP Workshops (ICASSPW), pp. 1-5, 2023, doi: 10.1109/ICASSPW59220.2023.10193395.</w:t>
      </w:r>
      <w:r>
        <w:rPr>
          <w:sz w:val="17"/>
        </w:rPr>
        <w:t xml:space="preserve"> </w:t>
      </w:r>
      <w:hyperlink r:id="rId51">
        <w:r>
          <w:rPr>
            <w:rStyle w:val="Hyperlink"/>
          </w:rPr>
          <w:t xml:space="preserve">Link</w:t>
        </w:r>
      </w:hyperlink>
    </w:p>
    <w:p>
      <w:pPr>
        <w:keepLines/>
        <w:spacing w:after="60"/>
        <w:ind w:left="360" w:hanging="360"/>
      </w:pPr>
      <w:r>
        <w:rPr>
          <w:sz w:val="17"/>
        </w:rPr>
        <w:t>[21] A. Saifaldawla, F. Ortiz, E. Lagunas, S. Daoud, S. Chatzinotas,</w:t>
      </w:r>
      <w:r>
        <w:rPr>
          <w:sz w:val="17"/>
        </w:rPr>
        <w:t xml:space="preserve"> </w:t>
      </w:r>
      <w:r>
        <w:rPr>
          <w:sz w:val="17"/>
        </w:rPr>
        <w:t xml:space="preserve">“</w:t>
      </w:r>
      <w:r>
        <w:rPr>
          <w:sz w:val="17"/>
        </w:rPr>
        <w:t xml:space="preserve">NGSO-to-GSO satellite interference detection based on autoencoder,</w:t>
      </w:r>
      <w:r>
        <w:rPr>
          <w:sz w:val="17"/>
        </w:rPr>
        <w:t xml:space="preserve">”</w:t>
      </w:r>
      <w:r>
        <w:rPr>
          <w:sz w:val="17"/>
        </w:rPr>
        <w:t xml:space="preserve"> </w:t>
      </w:r>
      <w:r>
        <w:rPr>
          <w:sz w:val="17"/>
        </w:rPr>
        <w:t xml:space="preserve">Proc. IEEE PIMRC, pp. 1-7, 2023, doi: 10.1109/PIMRC56721.2023.10293839.</w:t>
      </w:r>
      <w:r>
        <w:rPr>
          <w:sz w:val="17"/>
        </w:rPr>
        <w:t xml:space="preserve"> </w:t>
      </w:r>
      <w:hyperlink r:id="rId52">
        <w:r>
          <w:rPr>
            <w:rStyle w:val="Hyperlink"/>
          </w:rPr>
          <w:t xml:space="preserve">Link</w:t>
        </w:r>
      </w:hyperlink>
    </w:p>
    <w:p>
      <w:pPr>
        <w:keepLines/>
        <w:spacing w:after="60"/>
        <w:ind w:left="360" w:hanging="360"/>
      </w:pPr>
      <w:r>
        <w:rPr>
          <w:sz w:val="17"/>
        </w:rPr>
        <w:t>[22] A. Saifaldawla, F. Ortiz, E. Lagunas, S. Chatzinotas,</w:t>
      </w:r>
      <w:r>
        <w:rPr>
          <w:sz w:val="17"/>
        </w:rPr>
        <w:t xml:space="preserve"> </w:t>
      </w:r>
      <w:r>
        <w:rPr>
          <w:sz w:val="17"/>
        </w:rPr>
        <w:t xml:space="preserve">“</w:t>
      </w:r>
      <w:r>
        <w:rPr>
          <w:sz w:val="17"/>
        </w:rPr>
        <w:t xml:space="preserve">Convolutional autoencoders for non-geostationary satellite interference detection,</w:t>
      </w:r>
      <w:r>
        <w:rPr>
          <w:sz w:val="17"/>
        </w:rPr>
        <w:t xml:space="preserve">”</w:t>
      </w:r>
      <w:r>
        <w:rPr>
          <w:sz w:val="17"/>
        </w:rPr>
        <w:t xml:space="preserve"> </w:t>
      </w:r>
      <w:r>
        <w:rPr>
          <w:sz w:val="17"/>
        </w:rPr>
        <w:t xml:space="preserve">Proc. IEEE ICC Workshops, pp. 1334-1339, 2024, doi: 10.1109/ICCWorkshops59551.2024.10615457.</w:t>
      </w:r>
      <w:r>
        <w:rPr>
          <w:sz w:val="17"/>
        </w:rPr>
        <w:t xml:space="preserve"> </w:t>
      </w:r>
      <w:hyperlink r:id="rId53">
        <w:r>
          <w:rPr>
            <w:rStyle w:val="Hyperlink"/>
          </w:rPr>
          <w:t xml:space="preserve">Link</w:t>
        </w:r>
      </w:hyperlink>
    </w:p>
    <w:p>
      <w:pPr>
        <w:keepLines/>
        <w:spacing w:after="60"/>
        <w:ind w:left="360" w:hanging="360"/>
      </w:pPr>
      <w:r>
        <w:rPr>
          <w:sz w:val="17"/>
        </w:rPr>
        <w:t>[23] A. Saifaldawla, F. Ortiz, E. Lagunas, A. B. M. Adam, S. Chatzinotas,</w:t>
      </w:r>
      <w:r>
        <w:rPr>
          <w:sz w:val="17"/>
        </w:rPr>
        <w:t xml:space="preserve"> </w:t>
      </w:r>
      <w:r>
        <w:rPr>
          <w:sz w:val="17"/>
        </w:rPr>
        <w:t xml:space="preserve">“</w:t>
      </w:r>
      <w:r>
        <w:rPr>
          <w:sz w:val="17"/>
        </w:rPr>
        <w:t xml:space="preserve">GenAI-based models for NGSO satellites interference detection,</w:t>
      </w:r>
      <w:r>
        <w:rPr>
          <w:sz w:val="17"/>
        </w:rPr>
        <w:t xml:space="preserve">”</w:t>
      </w:r>
      <w:r>
        <w:rPr>
          <w:sz w:val="17"/>
        </w:rPr>
        <w:t xml:space="preserve"> </w:t>
      </w:r>
      <w:r>
        <w:rPr>
          <w:sz w:val="17"/>
        </w:rPr>
        <w:t xml:space="preserve">IEEE Trans. Mach. Learn. Commun. Netw., vol. 2, pp. 904-924, 2024, doi: 10.1109/TMLCN.2024.3418933.</w:t>
      </w:r>
      <w:r>
        <w:rPr>
          <w:sz w:val="17"/>
        </w:rPr>
        <w:t xml:space="preserve"> </w:t>
      </w:r>
      <w:hyperlink r:id="rId54">
        <w:r>
          <w:rPr>
            <w:rStyle w:val="Hyperlink"/>
          </w:rPr>
          <w:t xml:space="preserve">DOI</w:t>
        </w:r>
      </w:hyperlink>
    </w:p>
    <w:p>
      <w:pPr>
        <w:keepLines/>
        <w:spacing w:after="60"/>
        <w:ind w:left="360" w:hanging="360"/>
      </w:pPr>
      <w:r>
        <w:rPr>
          <w:sz w:val="17"/>
        </w:rPr>
        <w:t>[24] B. Yang, C. Yang, Z. Chen, K. Qiu, Y. Gao,</w:t>
      </w:r>
      <w:r>
        <w:rPr>
          <w:sz w:val="17"/>
        </w:rPr>
        <w:t xml:space="preserve"> </w:t>
      </w:r>
      <w:r>
        <w:rPr>
          <w:sz w:val="17"/>
        </w:rPr>
        <w:t xml:space="preserve">“</w:t>
      </w:r>
      <w:r>
        <w:rPr>
          <w:sz w:val="17"/>
        </w:rPr>
        <w:t xml:space="preserve">Agon: A semi-supervised framework for robust satellite interference detection,</w:t>
      </w:r>
      <w:r>
        <w:rPr>
          <w:sz w:val="17"/>
        </w:rPr>
        <w:t xml:space="preserve">”</w:t>
      </w:r>
      <w:r>
        <w:rPr>
          <w:sz w:val="17"/>
        </w:rPr>
        <w:t xml:space="preserve"> </w:t>
      </w:r>
      <w:r>
        <w:rPr>
          <w:sz w:val="17"/>
        </w:rPr>
        <w:t xml:space="preserve">arXiv:2606.14147 (preprint), 2026.</w:t>
      </w:r>
      <w:r>
        <w:rPr>
          <w:sz w:val="17"/>
        </w:rPr>
        <w:t xml:space="preserve"> </w:t>
      </w:r>
      <w:hyperlink r:id="rId55">
        <w:r>
          <w:rPr>
            <w:rStyle w:val="Hyperlink"/>
          </w:rPr>
          <w:t xml:space="preserve">Open access</w:t>
        </w:r>
      </w:hyperlink>
    </w:p>
    <w:p>
      <w:pPr>
        <w:keepLines/>
        <w:spacing w:after="60"/>
        <w:ind w:left="360" w:hanging="360"/>
      </w:pPr>
      <w:r>
        <w:rPr>
          <w:sz w:val="17"/>
        </w:rPr>
        <w:t>[25] H. Yu, R. Zhang, R. Ding,</w:t>
      </w:r>
      <w:r>
        <w:rPr>
          <w:sz w:val="17"/>
        </w:rPr>
        <w:t xml:space="preserve"> </w:t>
      </w:r>
      <w:r>
        <w:rPr>
          <w:sz w:val="17"/>
        </w:rPr>
        <w:t xml:space="preserve">“</w:t>
      </w:r>
      <w:r>
        <w:rPr>
          <w:sz w:val="17"/>
        </w:rPr>
        <w:t xml:space="preserve">Interference recognition based on machine learning for satellite communications,</w:t>
      </w:r>
      <w:r>
        <w:rPr>
          <w:sz w:val="17"/>
        </w:rPr>
        <w:t xml:space="preserve">”</w:t>
      </w:r>
      <w:r>
        <w:rPr>
          <w:sz w:val="17"/>
        </w:rPr>
        <w:t xml:space="preserve"> </w:t>
      </w:r>
      <w:r>
        <w:rPr>
          <w:sz w:val="17"/>
        </w:rPr>
        <w:t xml:space="preserve">Proc. Int. Conf. Machine Learning Technologies (ICMLT), pp. 18-23, 2018, doi: 10.1145/3231884.3231901.</w:t>
      </w:r>
      <w:r>
        <w:rPr>
          <w:sz w:val="17"/>
        </w:rPr>
        <w:t xml:space="preserve"> </w:t>
      </w:r>
      <w:hyperlink r:id="rId56">
        <w:r>
          <w:rPr>
            <w:rStyle w:val="Hyperlink"/>
          </w:rPr>
          <w:t xml:space="preserve">DOI</w:t>
        </w:r>
      </w:hyperlink>
    </w:p>
    <w:p>
      <w:pPr>
        <w:keepLines/>
        <w:spacing w:after="60"/>
        <w:ind w:left="360" w:hanging="360"/>
      </w:pPr>
      <w:r>
        <w:rPr>
          <w:sz w:val="17"/>
        </w:rPr>
        <w:t>[26] X. Han,</w:t>
      </w:r>
      <w:r>
        <w:rPr>
          <w:sz w:val="17"/>
        </w:rPr>
        <w:t xml:space="preserve"> </w:t>
      </w:r>
      <w:r>
        <w:rPr>
          <w:sz w:val="17"/>
        </w:rPr>
        <w:t xml:space="preserve">“</w:t>
      </w:r>
      <w:r>
        <w:rPr>
          <w:sz w:val="17"/>
        </w:rPr>
        <w:t xml:space="preserve">Artificial intelligence-based interference signal recognition for satellite communications,</w:t>
      </w:r>
      <w:r>
        <w:rPr>
          <w:sz w:val="17"/>
        </w:rPr>
        <w:t xml:space="preserve">”</w:t>
      </w:r>
      <w:r>
        <w:rPr>
          <w:sz w:val="17"/>
        </w:rPr>
        <w:t xml:space="preserve"> </w:t>
      </w:r>
      <w:r>
        <w:rPr>
          <w:sz w:val="17"/>
        </w:rPr>
        <w:t xml:space="preserve">Proc. ACSAT, pp. 279-282, 2024, doi: 10.1109/ACSAT63853.2024.10823708.</w:t>
      </w:r>
      <w:r>
        <w:rPr>
          <w:sz w:val="17"/>
        </w:rPr>
        <w:t xml:space="preserve"> </w:t>
      </w:r>
      <w:hyperlink r:id="rId57">
        <w:r>
          <w:rPr>
            <w:rStyle w:val="Hyperlink"/>
          </w:rPr>
          <w:t xml:space="preserve">Link</w:t>
        </w:r>
      </w:hyperlink>
    </w:p>
    <w:p>
      <w:pPr>
        <w:keepLines/>
        <w:spacing w:after="60"/>
        <w:ind w:left="360" w:hanging="360"/>
      </w:pPr>
      <w:r>
        <w:rPr>
          <w:sz w:val="17"/>
        </w:rPr>
        <w:t>[27] H. Xiong,</w:t>
      </w:r>
      <w:r>
        <w:rPr>
          <w:sz w:val="17"/>
        </w:rPr>
        <w:t xml:space="preserve"> </w:t>
      </w:r>
      <w:r>
        <w:rPr>
          <w:sz w:val="17"/>
        </w:rPr>
        <w:t xml:space="preserve">“</w:t>
      </w:r>
      <w:r>
        <w:rPr>
          <w:sz w:val="17"/>
        </w:rPr>
        <w:t xml:space="preserve">Research on interference detection and identification algorithms for satellite communication systems,</w:t>
      </w:r>
      <w:r>
        <w:rPr>
          <w:sz w:val="17"/>
        </w:rPr>
        <w:t xml:space="preserve">”</w:t>
      </w:r>
      <w:r>
        <w:rPr>
          <w:sz w:val="17"/>
        </w:rPr>
        <w:t xml:space="preserve"> </w:t>
      </w:r>
      <w:r>
        <w:rPr>
          <w:sz w:val="17"/>
        </w:rPr>
        <w:t xml:space="preserve">Proc. ICECAI, pp. 84-87, 2025, doi: 10.1109/ICECAI66283.2025.11170987.</w:t>
      </w:r>
      <w:r>
        <w:rPr>
          <w:sz w:val="17"/>
        </w:rPr>
        <w:t xml:space="preserve"> </w:t>
      </w:r>
      <w:hyperlink r:id="rId58">
        <w:r>
          <w:rPr>
            <w:rStyle w:val="Hyperlink"/>
          </w:rPr>
          <w:t xml:space="preserve">Link</w:t>
        </w:r>
      </w:hyperlink>
    </w:p>
    <w:p>
      <w:pPr>
        <w:keepLines/>
        <w:spacing w:after="60"/>
        <w:ind w:left="360" w:hanging="360"/>
      </w:pPr>
      <w:r>
        <w:rPr>
          <w:sz w:val="17"/>
        </w:rPr>
        <w:t>[28] F. Ortiz, V. Monzon Baeza, L. M. Garces-Socarras, J. A. Vásquez-Peralvo, J. L. Gonzalez et al.,</w:t>
      </w:r>
      <w:r>
        <w:rPr>
          <w:sz w:val="17"/>
        </w:rPr>
        <w:t xml:space="preserve"> </w:t>
      </w:r>
      <w:r>
        <w:rPr>
          <w:sz w:val="17"/>
        </w:rPr>
        <w:t xml:space="preserve">“</w:t>
      </w:r>
      <w:r>
        <w:rPr>
          <w:sz w:val="17"/>
        </w:rPr>
        <w:t xml:space="preserve">Onboard processing in satellite communications using AI accelerators,</w:t>
      </w:r>
      <w:r>
        <w:rPr>
          <w:sz w:val="17"/>
        </w:rPr>
        <w:t xml:space="preserve">”</w:t>
      </w:r>
      <w:r>
        <w:rPr>
          <w:sz w:val="17"/>
        </w:rPr>
        <w:t xml:space="preserve"> </w:t>
      </w:r>
      <w:r>
        <w:rPr>
          <w:sz w:val="17"/>
        </w:rPr>
        <w:t xml:space="preserve">Aerospace, vol. 10, no. 2, art. 101, 2023, doi: 10.3390/aerospace10020101.</w:t>
      </w:r>
      <w:r>
        <w:rPr>
          <w:sz w:val="17"/>
        </w:rPr>
        <w:t xml:space="preserve"> </w:t>
      </w:r>
      <w:hyperlink r:id="rId59">
        <w:r>
          <w:rPr>
            <w:rStyle w:val="Hyperlink"/>
          </w:rPr>
          <w:t xml:space="preserve">Link</w:t>
        </w:r>
      </w:hyperlink>
    </w:p>
    <w:p>
      <w:pPr>
        <w:keepLines/>
        <w:spacing w:after="60"/>
        <w:ind w:left="360" w:hanging="360"/>
      </w:pPr>
      <w:r>
        <w:rPr>
          <w:sz w:val="17"/>
        </w:rPr>
        <w:t>[29] F. Fourati, M.-S. Alouini,</w:t>
      </w:r>
      <w:r>
        <w:rPr>
          <w:sz w:val="17"/>
        </w:rPr>
        <w:t xml:space="preserve"> </w:t>
      </w:r>
      <w:r>
        <w:rPr>
          <w:sz w:val="17"/>
        </w:rPr>
        <w:t xml:space="preserve">“</w:t>
      </w:r>
      <w:r>
        <w:rPr>
          <w:sz w:val="17"/>
        </w:rPr>
        <w:t xml:space="preserve">Artificial intelligence for satellite communication: A review,</w:t>
      </w:r>
      <w:r>
        <w:rPr>
          <w:sz w:val="17"/>
        </w:rPr>
        <w:t xml:space="preserve">”</w:t>
      </w:r>
      <w:r>
        <w:rPr>
          <w:sz w:val="17"/>
        </w:rPr>
        <w:t xml:space="preserve"> </w:t>
      </w:r>
      <w:r>
        <w:rPr>
          <w:sz w:val="17"/>
        </w:rPr>
        <w:t xml:space="preserve">arXiv:2101.10899, 2021.</w:t>
      </w:r>
      <w:r>
        <w:rPr>
          <w:sz w:val="17"/>
        </w:rPr>
        <w:t xml:space="preserve"> </w:t>
      </w:r>
      <w:hyperlink r:id="rId60">
        <w:r>
          <w:rPr>
            <w:rStyle w:val="Hyperlink"/>
          </w:rPr>
          <w:t xml:space="preserve">Open access</w:t>
        </w:r>
      </w:hyperlink>
    </w:p>
    <w:p>
      <w:pPr>
        <w:keepLines/>
        <w:spacing w:after="60"/>
        <w:ind w:left="360" w:hanging="360"/>
      </w:pPr>
      <w:r>
        <w:rPr>
          <w:sz w:val="17"/>
        </w:rPr>
        <w:t>[30] G. Fontanesi, F. Ortíz, E. Lagunas et al.,</w:t>
      </w:r>
      <w:r>
        <w:rPr>
          <w:sz w:val="17"/>
        </w:rPr>
        <w:t xml:space="preserve"> </w:t>
      </w:r>
      <w:r>
        <w:rPr>
          <w:sz w:val="17"/>
        </w:rPr>
        <w:t xml:space="preserve">“</w:t>
      </w:r>
      <w:r>
        <w:rPr>
          <w:sz w:val="17"/>
        </w:rPr>
        <w:t xml:space="preserve">Artificial intelligence for satellite communication: A survey,</w:t>
      </w:r>
      <w:r>
        <w:rPr>
          <w:sz w:val="17"/>
        </w:rPr>
        <w:t xml:space="preserve">”</w:t>
      </w:r>
      <w:r>
        <w:rPr>
          <w:sz w:val="17"/>
        </w:rPr>
        <w:t xml:space="preserve"> </w:t>
      </w:r>
      <w:r>
        <w:rPr>
          <w:sz w:val="17"/>
        </w:rPr>
        <w:t xml:space="preserve">preprint, Univ. Luxembourg ORBilu.</w:t>
      </w:r>
      <w:r>
        <w:rPr>
          <w:sz w:val="17"/>
        </w:rPr>
        <w:t xml:space="preserve"> </w:t>
      </w:r>
      <w:hyperlink r:id="rId61">
        <w:r>
          <w:rPr>
            <w:rStyle w:val="Hyperlink"/>
          </w:rPr>
          <w:t xml:space="preserve">Link</w:t>
        </w:r>
      </w:hyperlink>
    </w:p>
    <w:p>
      <w:pPr>
        <w:keepLines/>
        <w:spacing w:after="60"/>
        <w:ind w:left="360" w:hanging="360"/>
      </w:pPr>
      <w:r>
        <w:rPr>
          <w:sz w:val="17"/>
        </w:rPr>
        <w:t>[31] A. Bhattacharyya, S. M. Nambiar, R. Ojha, A. Gyaneshwar, U. Chadha, K. Srinivasan,</w:t>
      </w:r>
      <w:r>
        <w:rPr>
          <w:sz w:val="17"/>
        </w:rPr>
        <w:t xml:space="preserve"> </w:t>
      </w:r>
      <w:r>
        <w:rPr>
          <w:sz w:val="17"/>
        </w:rPr>
        <w:t xml:space="preserve">“</w:t>
      </w:r>
      <w:r>
        <w:rPr>
          <w:sz w:val="17"/>
        </w:rPr>
        <w:t xml:space="preserve">Machine learning and deep learning powered satellite communications: Enabling technologies, applications, open challenges, and future research directions,</w:t>
      </w:r>
      <w:r>
        <w:rPr>
          <w:sz w:val="17"/>
        </w:rPr>
        <w:t xml:space="preserve">”</w:t>
      </w:r>
      <w:r>
        <w:rPr>
          <w:sz w:val="17"/>
        </w:rPr>
        <w:t xml:space="preserve"> </w:t>
      </w:r>
      <w:r>
        <w:rPr>
          <w:sz w:val="17"/>
        </w:rPr>
        <w:t xml:space="preserve">Int. J. Satell. Commun. Netw., vol. 41, no. 6, pp. 539-588, 2023, doi: 10.1002/sat.1482.</w:t>
      </w:r>
      <w:r>
        <w:rPr>
          <w:sz w:val="17"/>
        </w:rPr>
        <w:t xml:space="preserve"> </w:t>
      </w:r>
      <w:hyperlink r:id="rId62">
        <w:r>
          <w:rPr>
            <w:rStyle w:val="Hyperlink"/>
          </w:rPr>
          <w:t xml:space="preserve">DOI</w:t>
        </w:r>
      </w:hyperlink>
    </w:p>
    <w:p>
      <w:pPr>
        <w:keepLines/>
        <w:spacing w:after="60"/>
        <w:ind w:left="360" w:hanging="360"/>
      </w:pPr>
      <w:r>
        <w:rPr>
          <w:sz w:val="17"/>
        </w:rPr>
        <w:t>[32] T. Brieger, N. L. Raichur, D. Jdidi, F. Ott, T. Feigl, J. R. van der Merwe et al.,</w:t>
      </w:r>
      <w:r>
        <w:rPr>
          <w:sz w:val="17"/>
        </w:rPr>
        <w:t xml:space="preserve"> </w:t>
      </w:r>
      <w:r>
        <w:rPr>
          <w:sz w:val="17"/>
        </w:rPr>
        <w:t xml:space="preserve">“</w:t>
      </w:r>
      <w:r>
        <w:rPr>
          <w:sz w:val="17"/>
        </w:rPr>
        <w:t xml:space="preserve">Multimodal learning for reliable interference classification in GNSS signals,</w:t>
      </w:r>
      <w:r>
        <w:rPr>
          <w:sz w:val="17"/>
        </w:rPr>
        <w:t xml:space="preserve">”</w:t>
      </w:r>
      <w:r>
        <w:rPr>
          <w:sz w:val="17"/>
        </w:rPr>
        <w:t xml:space="preserve"> </w:t>
      </w:r>
      <w:r>
        <w:rPr>
          <w:sz w:val="17"/>
        </w:rPr>
        <w:t xml:space="preserve">Proc. ION GNSS+, pp. 3210-3234, 2022, doi: 10.33012/2022.18586.</w:t>
      </w:r>
      <w:r>
        <w:rPr>
          <w:sz w:val="17"/>
        </w:rPr>
        <w:t xml:space="preserve"> </w:t>
      </w:r>
      <w:hyperlink r:id="rId63">
        <w:r>
          <w:rPr>
            <w:rStyle w:val="Hyperlink"/>
          </w:rPr>
          <w:t xml:space="preserve">DOI</w:t>
        </w:r>
      </w:hyperlink>
    </w:p>
    <w:p>
      <w:pPr>
        <w:keepLines/>
        <w:spacing w:after="60"/>
        <w:ind w:left="360" w:hanging="360"/>
      </w:pPr>
      <w:r>
        <w:rPr>
          <w:sz w:val="17"/>
        </w:rPr>
        <w:t>[33] J. R. van der Merwe et al.,</w:t>
      </w:r>
      <w:r>
        <w:rPr>
          <w:sz w:val="17"/>
        </w:rPr>
        <w:t xml:space="preserve"> </w:t>
      </w:r>
      <w:r>
        <w:rPr>
          <w:sz w:val="17"/>
        </w:rPr>
        <w:t xml:space="preserve">“</w:t>
      </w:r>
      <w:r>
        <w:rPr>
          <w:sz w:val="17"/>
        </w:rPr>
        <w:t xml:space="preserve">Low-cost COTS GNSS interference monitoring, detection, and classification system,</w:t>
      </w:r>
      <w:r>
        <w:rPr>
          <w:sz w:val="17"/>
        </w:rPr>
        <w:t xml:space="preserve">”</w:t>
      </w:r>
      <w:r>
        <w:rPr>
          <w:sz w:val="17"/>
        </w:rPr>
        <w:t xml:space="preserve"> </w:t>
      </w:r>
      <w:r>
        <w:rPr>
          <w:sz w:val="17"/>
        </w:rPr>
        <w:t xml:space="preserve">Sensors, vol. 23, no. 7, art. 3452, 2023, doi: 10.3390/s23073452.</w:t>
      </w:r>
      <w:r>
        <w:rPr>
          <w:sz w:val="17"/>
        </w:rPr>
        <w:t xml:space="preserve"> </w:t>
      </w:r>
      <w:hyperlink r:id="rId64">
        <w:r>
          <w:rPr>
            <w:rStyle w:val="Hyperlink"/>
          </w:rPr>
          <w:t xml:space="preserve">DOI</w:t>
        </w:r>
      </w:hyperlink>
    </w:p>
    <w:p>
      <w:pPr>
        <w:keepLines/>
        <w:spacing w:after="60"/>
        <w:ind w:left="360" w:hanging="360"/>
      </w:pPr>
      <w:r>
        <w:rPr>
          <w:sz w:val="17"/>
        </w:rPr>
        <w:t>[34] F. Ott, L. Heublein, N. L. Raichur, T. Feigl, J. Hansen, A. Rügamer, C. Mutschler,</w:t>
      </w:r>
      <w:r>
        <w:rPr>
          <w:sz w:val="17"/>
        </w:rPr>
        <w:t xml:space="preserve"> </w:t>
      </w:r>
      <w:r>
        <w:rPr>
          <w:sz w:val="17"/>
        </w:rPr>
        <w:t xml:space="preserve">“</w:t>
      </w:r>
      <w:r>
        <w:rPr>
          <w:sz w:val="17"/>
        </w:rPr>
        <w:t xml:space="preserve">Few-shot learning with uncertainty-based quadruplet selection for interference classification in GNSS data,</w:t>
      </w:r>
      <w:r>
        <w:rPr>
          <w:sz w:val="17"/>
        </w:rPr>
        <w:t xml:space="preserve">”</w:t>
      </w:r>
      <w:r>
        <w:rPr>
          <w:sz w:val="17"/>
        </w:rPr>
        <w:t xml:space="preserve"> </w:t>
      </w:r>
      <w:r>
        <w:rPr>
          <w:sz w:val="17"/>
        </w:rPr>
        <w:t xml:space="preserve">Proc. ICL-GNSS, pp. 1-7, 2024, doi: 10.1109/ICL-GNSS60721.2024.10578525.</w:t>
      </w:r>
      <w:r>
        <w:rPr>
          <w:sz w:val="17"/>
        </w:rPr>
        <w:t xml:space="preserve"> </w:t>
      </w:r>
      <w:hyperlink r:id="rId65">
        <w:r>
          <w:rPr>
            <w:rStyle w:val="Hyperlink"/>
          </w:rPr>
          <w:t xml:space="preserve">DOI</w:t>
        </w:r>
      </w:hyperlink>
    </w:p>
    <w:p>
      <w:pPr>
        <w:keepLines/>
        <w:spacing w:after="60"/>
        <w:ind w:left="360" w:hanging="360"/>
      </w:pPr>
      <w:r>
        <w:rPr>
          <w:sz w:val="17"/>
        </w:rPr>
        <w:t>[35] L. Heublein, N. L. Raichur, T. Feigl, T. Brieger, F. Heuer et al.,</w:t>
      </w:r>
      <w:r>
        <w:rPr>
          <w:sz w:val="17"/>
        </w:rPr>
        <w:t xml:space="preserve"> </w:t>
      </w:r>
      <w:r>
        <w:rPr>
          <w:sz w:val="17"/>
        </w:rPr>
        <w:t xml:space="preserve">“</w:t>
      </w:r>
      <w:r>
        <w:rPr>
          <w:sz w:val="17"/>
        </w:rPr>
        <w:t xml:space="preserve">Evaluation of (un-)supervised machine learning methods for GNSS interference classification with real-world data discrepancies,</w:t>
      </w:r>
      <w:r>
        <w:rPr>
          <w:sz w:val="17"/>
        </w:rPr>
        <w:t xml:space="preserve">”</w:t>
      </w:r>
      <w:r>
        <w:rPr>
          <w:sz w:val="17"/>
        </w:rPr>
        <w:t xml:space="preserve"> </w:t>
      </w:r>
      <w:r>
        <w:rPr>
          <w:sz w:val="17"/>
        </w:rPr>
        <w:t xml:space="preserve">Proc. ION GNSS+, 2024, arXiv:2503.23775.</w:t>
      </w:r>
      <w:r>
        <w:rPr>
          <w:sz w:val="17"/>
        </w:rPr>
        <w:t xml:space="preserve"> </w:t>
      </w:r>
      <w:hyperlink r:id="rId66">
        <w:r>
          <w:rPr>
            <w:rStyle w:val="Hyperlink"/>
          </w:rPr>
          <w:t xml:space="preserve">Open access</w:t>
        </w:r>
      </w:hyperlink>
    </w:p>
    <w:p>
      <w:pPr>
        <w:keepLines/>
        <w:spacing w:after="60"/>
        <w:ind w:left="360" w:hanging="360"/>
      </w:pPr>
      <w:r>
        <w:rPr>
          <w:sz w:val="17"/>
        </w:rPr>
        <w:t>[36] L. Heublein et al.,</w:t>
      </w:r>
      <w:r>
        <w:rPr>
          <w:sz w:val="17"/>
        </w:rPr>
        <w:t xml:space="preserve"> </w:t>
      </w:r>
      <w:r>
        <w:rPr>
          <w:sz w:val="17"/>
        </w:rPr>
        <w:t xml:space="preserve">“</w:t>
      </w:r>
      <w:r>
        <w:rPr>
          <w:sz w:val="17"/>
        </w:rPr>
        <w:t xml:space="preserve">VAE-based feature disentanglement for data augmentation and compression in generalized GNSS interference classification,</w:t>
      </w:r>
      <w:r>
        <w:rPr>
          <w:sz w:val="17"/>
        </w:rPr>
        <w:t xml:space="preserve">”</w:t>
      </w:r>
      <w:r>
        <w:rPr>
          <w:sz w:val="17"/>
        </w:rPr>
        <w:t xml:space="preserve"> </w:t>
      </w:r>
      <w:r>
        <w:rPr>
          <w:sz w:val="17"/>
        </w:rPr>
        <w:t xml:space="preserve">arXiv:2504.10556, 2025.</w:t>
      </w:r>
      <w:r>
        <w:rPr>
          <w:sz w:val="17"/>
        </w:rPr>
        <w:t xml:space="preserve"> </w:t>
      </w:r>
      <w:hyperlink r:id="rId67">
        <w:r>
          <w:rPr>
            <w:rStyle w:val="Hyperlink"/>
          </w:rPr>
          <w:t xml:space="preserve">Open access</w:t>
        </w:r>
      </w:hyperlink>
    </w:p>
    <w:p>
      <w:pPr>
        <w:keepLines/>
        <w:spacing w:after="60"/>
        <w:ind w:left="360" w:hanging="360"/>
      </w:pPr>
      <w:r>
        <w:rPr>
          <w:sz w:val="17"/>
        </w:rPr>
        <w:t>[37] C. Wielenberg, L. Heublein, J. Ott et al.,</w:t>
      </w:r>
      <w:r>
        <w:rPr>
          <w:sz w:val="17"/>
        </w:rPr>
        <w:t xml:space="preserve"> </w:t>
      </w:r>
      <w:r>
        <w:rPr>
          <w:sz w:val="17"/>
        </w:rPr>
        <w:t xml:space="preserve">“</w:t>
      </w:r>
      <w:r>
        <w:rPr>
          <w:sz w:val="17"/>
        </w:rPr>
        <w:t xml:space="preserve">The S-ICDF dataset: Sionna-simulated dynamic interference characterization and direction finding,</w:t>
      </w:r>
      <w:r>
        <w:rPr>
          <w:sz w:val="17"/>
        </w:rPr>
        <w:t xml:space="preserve">”</w:t>
      </w:r>
      <w:r>
        <w:rPr>
          <w:sz w:val="17"/>
        </w:rPr>
        <w:t xml:space="preserve"> </w:t>
      </w:r>
      <w:r>
        <w:rPr>
          <w:sz w:val="17"/>
        </w:rPr>
        <w:t xml:space="preserve">arXiv:2607.03411, 2026.</w:t>
      </w:r>
      <w:r>
        <w:rPr>
          <w:sz w:val="17"/>
        </w:rPr>
        <w:t xml:space="preserve"> </w:t>
      </w:r>
      <w:hyperlink r:id="rId68">
        <w:r>
          <w:rPr>
            <w:rStyle w:val="Hyperlink"/>
          </w:rPr>
          <w:t xml:space="preserve">Open access</w:t>
        </w:r>
      </w:hyperlink>
    </w:p>
    <w:p>
      <w:pPr>
        <w:keepLines/>
        <w:spacing w:after="60"/>
        <w:ind w:left="360" w:hanging="360"/>
      </w:pPr>
      <w:r>
        <w:rPr>
          <w:sz w:val="17"/>
        </w:rPr>
        <w:t>[38] I. Ebrahimi Mehr, F. Dovis,</w:t>
      </w:r>
      <w:r>
        <w:rPr>
          <w:sz w:val="17"/>
        </w:rPr>
        <w:t xml:space="preserve"> </w:t>
      </w:r>
      <w:r>
        <w:rPr>
          <w:sz w:val="17"/>
        </w:rPr>
        <w:t xml:space="preserve">“</w:t>
      </w:r>
      <w:r>
        <w:rPr>
          <w:sz w:val="17"/>
        </w:rPr>
        <w:t xml:space="preserve">A deep neural network approach for classification of GNSS interference and jamming,</w:t>
      </w:r>
      <w:r>
        <w:rPr>
          <w:sz w:val="17"/>
        </w:rPr>
        <w:t xml:space="preserve">”</w:t>
      </w:r>
      <w:r>
        <w:rPr>
          <w:sz w:val="17"/>
        </w:rPr>
        <w:t xml:space="preserve"> </w:t>
      </w:r>
      <w:r>
        <w:rPr>
          <w:sz w:val="17"/>
        </w:rPr>
        <w:t xml:space="preserve">IEEE Trans. Aerosp. Electron. Syst., vol. 61, no. 2, pp. 1660-1676, 2025, doi: 10.1109/TAES.2024.3462662.</w:t>
      </w:r>
      <w:r>
        <w:rPr>
          <w:sz w:val="17"/>
        </w:rPr>
        <w:t xml:space="preserve"> </w:t>
      </w:r>
      <w:hyperlink r:id="rId69">
        <w:r>
          <w:rPr>
            <w:rStyle w:val="Hyperlink"/>
          </w:rPr>
          <w:t xml:space="preserve">DOI</w:t>
        </w:r>
      </w:hyperlink>
    </w:p>
    <w:p>
      <w:pPr>
        <w:keepLines/>
        <w:spacing w:after="60"/>
        <w:ind w:left="360" w:hanging="360"/>
      </w:pPr>
      <w:r>
        <w:rPr>
          <w:sz w:val="17"/>
        </w:rPr>
        <w:t>[39] V. Ivanov, M. Scaramuzza, R. C. Wilson, “Deep temporal semi-supervised one-class classification for GNSS radio frequency interference detection,” The Journal of Navigation, vol. 77, no. 1, pp. 59–81, 2024. DOI: 10.1017/S0373463324000134. Publisher.</w:t>
      </w:r>
    </w:p>
    <w:p>
      <w:pPr>
        <w:keepLines/>
        <w:spacing w:after="60"/>
        <w:ind w:left="360" w:hanging="360"/>
      </w:pPr>
      <w:r>
        <w:rPr>
          <w:sz w:val="17"/>
        </w:rPr>
        <w:t>[40] L. Heublein, T. Feigl, A. Rügamer, F. Ott, “Achieving Generalization in Orchestrating GNSS Interference Monitoring Stations Through Pseudo-Labeling,” POSNAV, 2024, arXiv:2410.14686. Primary record.</w:t>
      </w:r>
    </w:p>
    <w:p>
      <w:pPr>
        <w:keepLines/>
        <w:spacing w:after="60"/>
        <w:ind w:left="360" w:hanging="360"/>
      </w:pPr>
      <w:r>
        <w:rPr>
          <w:sz w:val="17"/>
        </w:rPr>
        <w:t>[41] T. J. O’Shea, T. Roy, T. C. Clancy, “Over-the-air deep learning based radio signal classification,” IEEE J. Sel. Topics Signal Process., vol. 12, no. 1, pp. 168-179, 2018, doi: 10.1109/JSTSP.2018.2797022, arXiv:1712.04578. Open access</w:t>
      </w:r>
    </w:p>
    <w:p>
      <w:pPr>
        <w:keepLines/>
        <w:spacing w:after="60"/>
        <w:ind w:left="360" w:hanging="360"/>
      </w:pPr>
      <w:r>
        <w:rPr>
          <w:sz w:val="17"/>
        </w:rPr>
        <w:t>[42] L. Boegner, M. Gulati, G. Vanhoy, P. Vallance, B. Comar, S. Kokalj-Filipovic, C. Lennon, R. D. Miller, “Large scale radio frequency signal classification,” arXiv:2207.09918, 2022. Open access</w:t>
      </w:r>
    </w:p>
    <w:p>
      <w:pPr>
        <w:keepLines/>
        <w:spacing w:after="60"/>
        <w:ind w:left="360" w:hanging="360"/>
      </w:pPr>
      <w:r>
        <w:rPr>
          <w:sz w:val="17"/>
        </w:rPr>
        <w:t>[43] L. Boegner et al., “Large scale radio frequency wideband signal detection &amp; recognition,” arXiv:2211.10335, 2022. Open access</w:t>
      </w:r>
    </w:p>
    <w:p>
      <w:pPr>
        <w:keepLines/>
        <w:spacing w:after="60"/>
        <w:ind w:left="360" w:hanging="360"/>
      </w:pPr>
      <w:r>
        <w:rPr>
          <w:sz w:val="17"/>
        </w:rPr>
        <w:t>[44] TorchDSP, “TorchSig README,” accessed 23 October 2026. Project documentation. Mutable documentation; pin a release/commit before experiments.</w:t>
      </w:r>
    </w:p>
    <w:p>
      <w:pPr>
        <w:keepLines/>
        <w:spacing w:after="60"/>
        <w:ind w:left="360" w:hanging="360"/>
      </w:pPr>
      <w:r>
        <w:rPr>
          <w:sz w:val="17"/>
        </w:rPr>
        <w:t>[45] M. Kulin, T. Kazaz, I. Moerman, E. De Poorter, “End-to-end learning from spectrum data: A deep learning approach for wireless signal identification in spectrum monitoring applications,” IEEE Access, vol. 6, pp. 18484-18501, 2018, doi: 10.1109/ACCESS.2018.2818794, arXiv:1712.03987. Open access</w:t>
      </w:r>
    </w:p>
    <w:p>
      <w:pPr>
        <w:keepLines/>
        <w:spacing w:after="60"/>
        <w:ind w:left="360" w:hanging="360"/>
      </w:pPr>
      <w:r>
        <w:rPr>
          <w:sz w:val="17"/>
        </w:rPr>
        <w:t>[46] K. Tekbıyık, Ö. Akbunar, A. R. Ekti, A. Görçin, G. K. Kurt, “Spectrum sensing and signal identification with deep learning based on spectral correlation function,” arXiv:2003.08359, 2020. Open access</w:t>
      </w:r>
    </w:p>
    <w:p>
      <w:pPr>
        <w:keepLines/>
        <w:spacing w:after="60"/>
        <w:ind w:left="360" w:hanging="360"/>
      </w:pPr>
      <w:r>
        <w:rPr>
          <w:sz w:val="17"/>
        </w:rPr>
        <w:t>[47] R. Wu, C. J. Li, W. Zhang, X. Liu, P. H. W. Leong, “Cyclo-AMC: Automatic modulation classification on Versal utilising cyclostationary features,” Proc. FPT, 2025. Link</w:t>
      </w:r>
    </w:p>
    <w:p>
      <w:pPr>
        <w:keepLines/>
        <w:spacing w:after="60"/>
        <w:ind w:left="360" w:hanging="360"/>
      </w:pPr>
      <w:r>
        <w:rPr>
          <w:sz w:val="17"/>
        </w:rPr>
        <w:t>[48] T. Oyedare, V. K. Shah, D. J. Jakubisin, J. H. Reed, “Keep it simple: CNN model complexity studies for interference classification tasks,” arXiv:2303.03326, 2023. Open access</w:t>
      </w:r>
    </w:p>
    <w:p>
      <w:pPr>
        <w:keepLines/>
        <w:spacing w:after="60"/>
        <w:ind w:left="360" w:hanging="360"/>
      </w:pPr>
      <w:r>
        <w:rPr>
          <w:sz w:val="17"/>
        </w:rPr>
        <w:t>[49] C. Xu, J. Ren, W. Yu, Y. Jin, Z. Cao, X. Wu, W. Jiang, “Time-frequency analysis based deep interference classification for frequency hopping system,” arXiv:2108.10056, 2021. Open access</w:t>
      </w:r>
    </w:p>
    <w:p>
      <w:pPr>
        <w:keepLines/>
        <w:spacing w:after="60"/>
        <w:ind w:left="360" w:hanging="360"/>
      </w:pPr>
      <w:r>
        <w:rPr>
          <w:sz w:val="17"/>
        </w:rPr>
        <w:t>[50] T. Oyedare, V. K. Shah, D. J. Jakubisin, J. H. Reed, “Interference suppression using deep learning: Current approaches and open challenges,” arXiv:2112.08988, 2021. Open access</w:t>
      </w:r>
    </w:p>
    <w:p>
      <w:pPr>
        <w:keepLines/>
        <w:spacing w:after="60"/>
        <w:ind w:left="360" w:hanging="360"/>
      </w:pPr>
      <w:r>
        <w:rPr>
          <w:sz w:val="17"/>
        </w:rPr>
        <w:t>[51] K. He, X. Zhang, S. Ren, J. Sun, “Deep residual learning for image recognition,” Proc. CVPR, 2016, arXiv:1512.03385. Open access</w:t>
      </w:r>
    </w:p>
    <w:p>
      <w:pPr>
        <w:keepLines/>
        <w:spacing w:after="60"/>
        <w:ind w:left="360" w:hanging="360"/>
      </w:pPr>
      <w:r>
        <w:rPr>
          <w:sz w:val="17"/>
        </w:rPr>
        <w:t>[52] Y. Gong, Y.-A. Chung, J. Glass, “AST: Audio spectrogram transformer,” Proc. Interspeech, 2021, arXiv:2104.01778. Open access</w:t>
      </w:r>
    </w:p>
    <w:p>
      <w:pPr>
        <w:keepLines/>
        <w:spacing w:after="60"/>
        <w:ind w:left="360" w:hanging="360"/>
      </w:pPr>
      <w:r>
        <w:rPr>
          <w:sz w:val="17"/>
        </w:rPr>
        <w:t>[53] E. Perez, F. Strub, H. de Vries, V. Dumoulin, A. Courville, “FiLM: Visual reasoning with a general conditioning layer,” Proc. AAAI, 2018, arXiv:1709.07871. Open access</w:t>
      </w:r>
    </w:p>
    <w:p>
      <w:pPr>
        <w:keepLines/>
        <w:spacing w:after="60"/>
        <w:ind w:left="360" w:hanging="360"/>
      </w:pPr>
      <w:r>
        <w:rPr>
          <w:sz w:val="17"/>
        </w:rPr>
        <w:t>[54] A. A. M. Saleh, “Frequency-independent and frequency-dependent nonlinear models of TWT amplifiers,” IEEE Trans. Commun., vol. 29, no. 11, pp. 1715-1720, 1981, doi: 10.1109/TCOM.1981.1094911. DOI</w:t>
      </w:r>
    </w:p>
    <w:p>
      <w:pPr>
        <w:keepLines/>
        <w:spacing w:after="60"/>
        <w:ind w:left="360" w:hanging="360"/>
      </w:pPr>
      <w:r>
        <w:rPr>
          <w:sz w:val="17"/>
        </w:rPr>
        <w:t>[55] A. Morello, V. Mignone, “DVB-S2: The second generation standard for satellite broad-band services,” Proc. IEEE, vol. 94, no. 1, pp. 210-227, 2006, doi: 10.1109/JPROC.2005.861013. DOI</w:t>
      </w:r>
    </w:p>
    <w:p>
      <w:pPr>
        <w:keepLines/>
        <w:spacing w:after="60"/>
        <w:ind w:left="360" w:hanging="360"/>
      </w:pPr>
      <w:r>
        <w:rPr>
          <w:sz w:val="17"/>
        </w:rPr>
        <w:t>[56] E. Casini, R. De Gaudenzi, A. Ginesi, “DVB-S2 modem algorithms design and performance over typical satellite channels,” Int. J. Satell. Commun. Netw., vol. 22, no. 3, pp. 281-318, 2004, doi: 10.1002/sat.791. DOI</w:t>
      </w:r>
    </w:p>
    <w:p>
      <w:pPr>
        <w:keepLines/>
        <w:spacing w:after="60"/>
        <w:ind w:left="360" w:hanging="360"/>
      </w:pPr>
      <w:r>
        <w:rPr>
          <w:sz w:val="17"/>
        </w:rPr>
        <w:t>[57] B. F. Beidas, “Intermodulation distortion in multicarrier satellite systems: Analysis and turbo Volterra equalization,” IEEE Trans. Commun., vol. 59, no. 6, pp. 1580-1590, 2011, doi: 10.1109/TCOMM.2011.042111.100320. DOI</w:t>
      </w:r>
    </w:p>
    <w:p>
      <w:pPr>
        <w:keepLines/>
        <w:spacing w:after="60"/>
        <w:ind w:left="360" w:hanging="360"/>
      </w:pPr>
      <w:r>
        <w:rPr>
          <w:sz w:val="17"/>
        </w:rPr>
        <w:t>[58] M. Allegue-Martínez et al., “Digital linear pre-compensation technique to enhance predistortion performance in multicarrier DVB-S2 satellite communication systems,” Electron. Lett., vol. 50, no. 13, pp. 957-959, 2014, doi: 10.1049/el.2014.1172. DOI</w:t>
      </w:r>
    </w:p>
    <w:p>
      <w:pPr>
        <w:keepLines/>
        <w:spacing w:after="60"/>
        <w:ind w:left="360" w:hanging="360"/>
      </w:pPr>
      <w:r>
        <w:rPr>
          <w:sz w:val="17"/>
        </w:rPr>
        <w:t>[59] A. A. Gözütok, M. M. Nefes, S. Demirel, “NPR and intermodulation distortion modelling of travelling-wave tube amplifier of telecommunication spacecraft,” Proc. 11th Ankara Int. Aerospace Conf. (AIAC-2021-015), 2021. Link</w:t>
      </w:r>
    </w:p>
    <w:p>
      <w:pPr>
        <w:keepLines/>
        <w:spacing w:after="60"/>
        <w:ind w:left="360" w:hanging="360"/>
      </w:pPr>
      <w:r>
        <w:rPr>
          <w:sz w:val="17"/>
        </w:rPr>
        <w:t>[60] J. C. Fuenzalida, O. Shimbo, W. L. Cook, “Time-domain analysis of intermodulation effects caused by nonlinear amplifiers,” COMSAT Tech. Rev., vol. 3, no. 1, pp. 89-143, 1973.</w:t>
      </w:r>
    </w:p>
    <w:p>
      <w:pPr>
        <w:keepLines/>
        <w:spacing w:after="60"/>
        <w:ind w:left="360" w:hanging="360"/>
      </w:pPr>
      <w:r>
        <w:rPr>
          <w:sz w:val="17"/>
        </w:rPr>
        <w:t>[61] Y. Luo, A. Jayaprakash, G. Chen, C. Huang, Q. Luo, P. Xiao, “Widely linear augmented extreme learning machine based impairments compensation for satellite communications,” arXiv:2506.14557, 2025. Open access</w:t>
      </w:r>
    </w:p>
    <w:p>
      <w:pPr>
        <w:keepLines/>
        <w:spacing w:after="60"/>
        <w:ind w:left="360" w:hanging="360"/>
      </w:pPr>
      <w:r>
        <w:rPr>
          <w:sz w:val="17"/>
        </w:rPr>
        <w:t>[62] X. Sun et al., “Kernel-FastICA-based nonlinear blind source separation for anti-jamming satellite communications,” Sensors, vol. 25, no. 12, art. 3743, 2025, doi: 10.3390/s25123743. Link</w:t>
      </w:r>
    </w:p>
    <w:p>
      <w:pPr>
        <w:keepLines/>
        <w:spacing w:after="60"/>
        <w:ind w:left="360" w:hanging="360"/>
      </w:pPr>
      <w:r>
        <w:rPr>
          <w:sz w:val="17"/>
        </w:rPr>
        <w:t>[63] Y. Wu, G. D. Singh, M. Beikmirza, L. C. N. de Vreede, M. Alavi, C. Gao, “OpenDPD: An open-source end-to-end learning &amp; benchmarking framework for wideband power amplifier modeling and digital pre-distortion,” Proc. IEEE ISCAS, 2024, arXiv:2401.08318. Open access</w:t>
      </w:r>
    </w:p>
    <w:p>
      <w:pPr>
        <w:keepLines/>
        <w:spacing w:after="60"/>
        <w:ind w:left="360" w:hanging="360"/>
      </w:pPr>
      <w:r>
        <w:rPr>
          <w:sz w:val="17"/>
        </w:rPr>
        <w:t>[64] Y. Wu, A. Li, C. Gao, “OpenDPDv2: A unified learning and optimization framework for neural network digital predistortion,” arXiv:2507.06849, 2025. Open access</w:t>
      </w:r>
    </w:p>
    <w:p>
      <w:pPr>
        <w:keepLines/>
        <w:spacing w:after="60"/>
        <w:ind w:left="360" w:hanging="360"/>
      </w:pPr>
      <w:r>
        <w:rPr>
          <w:sz w:val="17"/>
        </w:rPr>
        <w:t>[65] S. Hanna, D. Čabrić, “Deep learning based transmitter identification using power amplifier nonlinearity,” arXiv:1811.04521, 2018. Open access</w:t>
      </w:r>
    </w:p>
    <w:p>
      <w:pPr>
        <w:keepLines/>
        <w:spacing w:after="60"/>
        <w:ind w:left="360" w:hanging="360"/>
      </w:pPr>
      <w:r>
        <w:rPr>
          <w:sz w:val="17"/>
        </w:rPr>
        <w:t>[66] A. S. Karasuwa, J. D. Eastment, I. E. Otung, “Cross-polarisation discrimination-induced interference in dual-polarised high-capacity satellite communication systems,” J. Eng., vol. 2016, no. 6, pp. 162-170, 2016, doi: 10.1049/joe.2015.0178. DOI</w:t>
      </w:r>
    </w:p>
    <w:p>
      <w:pPr>
        <w:keepLines/>
        <w:spacing w:after="60"/>
        <w:ind w:left="360" w:hanging="360"/>
      </w:pPr>
      <w:r>
        <w:rPr>
          <w:sz w:val="17"/>
        </w:rPr>
        <w:t>[67] E. Satorius, T. Jedrey, C. Wang, “Impact of cross-polarization interference on dual polarization communication systems,” IPN Progress Report 42-213, JPL, 2018. Link</w:t>
      </w:r>
    </w:p>
    <w:p>
      <w:pPr>
        <w:keepLines/>
        <w:spacing w:after="60"/>
        <w:ind w:left="360" w:hanging="360"/>
      </w:pPr>
      <w:r>
        <w:rPr>
          <w:sz w:val="17"/>
        </w:rPr>
        <w:t>[68] P. Zhao, N. Chen, Y. Li, C. Feng, “Cross-Polarization Interference Cancellation in Satellite Communication,” Proc. EEI, pp. 391–395, 2023. DOI: 10.1109/EEI59236.2023.10212784. DOI.</w:t>
      </w:r>
    </w:p>
    <w:p>
      <w:pPr>
        <w:keepLines/>
        <w:spacing w:after="60"/>
        <w:ind w:left="360" w:hanging="360"/>
      </w:pPr>
      <w:r>
        <w:rPr>
          <w:sz w:val="17"/>
        </w:rPr>
        <w:t>[69] C. Hao, D. Feng, Q. Zhang, and X.-G. Xia, “Interference geolocation in satellite communications systems: An overview,” IEEE Vehicular Technology Magazine, vol. 16, no. 1, pp. 66–74, Mar. 2021, doi: 10.1109/MVT.2020.3002525.</w:t>
      </w:r>
    </w:p>
    <w:p>
      <w:pPr>
        <w:keepLines/>
        <w:spacing w:after="60"/>
        <w:ind w:left="360" w:hanging="360"/>
      </w:pPr>
      <w:r>
        <w:rPr>
          <w:sz w:val="17"/>
        </w:rPr>
        <w:t>[70] P. Mo, X. Fan, L. You, “A novel and blind detection scheme for asymmetric PCMA system,” Proc. ICCSNT, pp. 854-857, 2013, doi: 10.1109/ICCSNT.2013.6967240. Link</w:t>
      </w:r>
    </w:p>
    <w:p>
      <w:pPr>
        <w:keepLines/>
        <w:spacing w:after="60"/>
        <w:ind w:left="360" w:hanging="360"/>
      </w:pPr>
      <w:r>
        <w:rPr>
          <w:sz w:val="17"/>
        </w:rPr>
        <w:t>[71] X. Liu, X. Tao, X. Chen, N. Ge, “Information theory analysis of blind detection for PCMA satellite communication systems,” Proc. IEEE VTC-Fall, pp. 1-5, 2013, doi: 10.1109/VTCFall.2013.6692242. DOI</w:t>
      </w:r>
    </w:p>
    <w:p>
      <w:pPr>
        <w:keepLines/>
        <w:spacing w:after="60"/>
        <w:ind w:left="360" w:hanging="360"/>
      </w:pPr>
      <w:r>
        <w:rPr>
          <w:sz w:val="17"/>
        </w:rPr>
        <w:t>[72] C. Geng, S.-J. Huang, S. Chen, “Recent advances in open set recognition: A survey,” IEEE Trans. Pattern Anal. Mach. Intell., vol. 43, no. 10, pp. 3614-3631, 2021, doi: 10.1109/TPAMI.2020.2981604, arXiv:1811.08581. Open access</w:t>
      </w:r>
    </w:p>
    <w:p>
      <w:pPr>
        <w:keepLines/>
        <w:spacing w:after="60"/>
        <w:ind w:left="360" w:hanging="360"/>
      </w:pPr>
      <w:r>
        <w:rPr>
          <w:sz w:val="17"/>
        </w:rPr>
        <w:t>[73] J. Yang, K. Zhou, Y. Li, Z. Liu, “Generalized out-of-distribution detection: A survey,” Int. J. Comput. Vis., vol. 132, no. 12, pp. 5635-5662, 2024, doi: 10.1007/s11263-024-02117-4, arXiv:2110.11334. Open access</w:t>
      </w:r>
    </w:p>
    <w:p>
      <w:pPr>
        <w:keepLines/>
        <w:spacing w:after="60"/>
        <w:ind w:left="360" w:hanging="360"/>
      </w:pPr>
      <w:r>
        <w:rPr>
          <w:sz w:val="17"/>
        </w:rPr>
        <w:t>[74] D. Hendrycks, K. Gimpel, “A baseline for detecting misclassified and out-of-distribution examples in neural networks,” Proc. ICLR, 2017, arXiv:1610.02136. Open access</w:t>
      </w:r>
    </w:p>
    <w:p>
      <w:pPr>
        <w:keepLines/>
        <w:spacing w:after="60"/>
        <w:ind w:left="360" w:hanging="360"/>
      </w:pPr>
      <w:r>
        <w:rPr>
          <w:sz w:val="17"/>
        </w:rPr>
        <w:t>[75] S. Liang, Y. Li, R. Srikant, “Enhancing the reliability of out-of-distribution image detection in neural networks,” Proc. ICLR, 2018, arXiv:1706.02690. Open access</w:t>
      </w:r>
    </w:p>
    <w:p>
      <w:pPr>
        <w:keepLines/>
        <w:spacing w:after="60"/>
        <w:ind w:left="360" w:hanging="360"/>
      </w:pPr>
      <w:r>
        <w:rPr>
          <w:sz w:val="17"/>
        </w:rPr>
        <w:t>[76] W. Liu, X. Wang, J. D. Owens, Y. Li, “Energy-based out-of-distribution detection,” Proc. NeurIPS, 2020, arXiv:2010.03759. Open access</w:t>
      </w:r>
    </w:p>
    <w:p>
      <w:pPr>
        <w:keepLines/>
        <w:spacing w:after="60"/>
        <w:ind w:left="360" w:hanging="360"/>
      </w:pPr>
      <w:r>
        <w:rPr>
          <w:sz w:val="17"/>
        </w:rPr>
        <w:t>[77] K. Lee, K. Lee, H. Lee, J. Shin, “A simple unified framework for detecting out-of-distribution samples and adversarial attacks,” Proc. NeurIPS, 2018, arXiv:1807.03888. Open access</w:t>
      </w:r>
    </w:p>
    <w:p>
      <w:pPr>
        <w:keepLines/>
        <w:spacing w:after="60"/>
        <w:ind w:left="360" w:hanging="360"/>
      </w:pPr>
      <w:r>
        <w:rPr>
          <w:sz w:val="17"/>
        </w:rPr>
        <w:t>[78] A. Bendale, T. Boult, “Towards open set deep networks,” Proc. CVPR, 2016, arXiv:1511.06233. Open access</w:t>
      </w:r>
    </w:p>
    <w:p>
      <w:pPr>
        <w:keepLines/>
        <w:spacing w:after="60"/>
        <w:ind w:left="360" w:hanging="360"/>
      </w:pPr>
      <w:r>
        <w:rPr>
          <w:sz w:val="17"/>
        </w:rPr>
        <w:t>[79] G. Chen, P. Peng, X. Wang, Y. Tian, “Adversarial reciprocal points learning for open set recognition,” IEEE Trans. Pattern Anal. Mach. Intell., 2021, doi: 10.1109/TPAMI.2021.3106743, arXiv:2103.00953. Open access</w:t>
      </w:r>
    </w:p>
    <w:p>
      <w:pPr>
        <w:keepLines/>
        <w:spacing w:after="60"/>
        <w:ind w:left="360" w:hanging="360"/>
      </w:pPr>
      <w:r>
        <w:rPr>
          <w:sz w:val="17"/>
        </w:rPr>
        <w:t>[80] S. Vaze, K. Han, A. Vedaldi, A. Zisserman, “Open-set recognition: A good closed-set classifier is all you need?,” Proc. ICLR, 2022, arXiv:2110.06207. Open access</w:t>
      </w:r>
    </w:p>
    <w:p>
      <w:pPr>
        <w:keepLines/>
        <w:spacing w:after="60"/>
        <w:ind w:left="360" w:hanging="360"/>
      </w:pPr>
      <w:r>
        <w:rPr>
          <w:sz w:val="17"/>
        </w:rPr>
        <w:t>[81] A. R. Dhamija, M. Günther, T. E. Boult, “Reducing network agnostophobia,” Proc. NeurIPS, 2018, arXiv:1811.04110. Open access</w:t>
      </w:r>
    </w:p>
    <w:p>
      <w:pPr>
        <w:keepLines/>
        <w:spacing w:after="60"/>
        <w:ind w:left="360" w:hanging="360"/>
      </w:pPr>
      <w:r>
        <w:rPr>
          <w:sz w:val="17"/>
        </w:rPr>
        <w:t>[82] Y. Guo, H. Jiang, J. Wu, J. Zhou, “Open set modulation recognition based on dual-channel LSTM model,” arXiv:2002.12037, 2020. Open access</w:t>
      </w:r>
    </w:p>
    <w:p>
      <w:pPr>
        <w:keepLines/>
        <w:spacing w:after="60"/>
        <w:ind w:left="360" w:hanging="360"/>
      </w:pPr>
      <w:r>
        <w:rPr>
          <w:sz w:val="17"/>
        </w:rPr>
        <w:t>[83] Z. Zhang, M. Zhu, J. Liu, Y. Li, S. Wang, “Class information guided reconstruction for automatic modulation open-set recognition,” arXiv:2312.13023, 2023. Open access</w:t>
      </w:r>
    </w:p>
    <w:p>
      <w:pPr>
        <w:keepLines/>
        <w:spacing w:after="60"/>
        <w:ind w:left="360" w:hanging="360"/>
      </w:pPr>
      <w:r>
        <w:rPr>
          <w:sz w:val="17"/>
        </w:rPr>
        <w:t>[84] H. Zhang, F. Zhou, Q. Wu, C. Yuen, “FSOS-AMC: Few-shot open-set learning for automatic modulation classification,” arXiv:2410.10265, 2024. Open access</w:t>
      </w:r>
    </w:p>
    <w:p>
      <w:pPr>
        <w:keepLines/>
        <w:spacing w:after="60"/>
        <w:ind w:left="360" w:hanging="360"/>
      </w:pPr>
      <w:r>
        <w:rPr>
          <w:sz w:val="17"/>
        </w:rPr>
        <w:t>[85] Y. Yang, S. Zhang, K. Li, Q. Tian, Y. Lin, “Adversarial threats to automatic modulation open set recognition in wireless networks,” arXiv:2405.05022, 2024. Open access</w:t>
      </w:r>
    </w:p>
    <w:p>
      <w:pPr>
        <w:keepLines/>
        <w:spacing w:after="60"/>
        <w:ind w:left="360" w:hanging="360"/>
      </w:pPr>
      <w:r>
        <w:rPr>
          <w:sz w:val="17"/>
        </w:rPr>
        <w:t>[86] W. Wang, H. Liao, L. Gan, “Open-set RF fingerprinting via improved prototype learning,” arXiv:2306.13895, 2023. Open access</w:t>
      </w:r>
    </w:p>
    <w:p>
      <w:pPr>
        <w:keepLines/>
        <w:spacing w:after="60"/>
        <w:ind w:left="360" w:hanging="360"/>
      </w:pPr>
      <w:r>
        <w:rPr>
          <w:sz w:val="17"/>
        </w:rPr>
        <w:t>[87] S. R. Shebert, B. H. Kirk, R. M. Buehrer, “Open set wireless signal classification: Augmenting deep learning with expert feature classifiers,” arXiv:2302.03749, 2023. Open access</w:t>
      </w:r>
    </w:p>
    <w:p>
      <w:pPr>
        <w:keepLines/>
        <w:spacing w:after="60"/>
        <w:ind w:left="360" w:hanging="360"/>
      </w:pPr>
      <w:r>
        <w:rPr>
          <w:sz w:val="17"/>
        </w:rPr>
        <w:t>[88] X. Chen, Z. Zhao, X. Ye, S. Zheng, C. Lou, X. Yang, “Efficient open-set recognition for interference signals based on convolutional prototype learning,” Appl. Sci., vol. 12, no. 9, art. 4380, 2022, doi: 10.3390/app12094380. DOI</w:t>
      </w:r>
    </w:p>
    <w:p>
      <w:pPr>
        <w:keepLines/>
        <w:spacing w:after="60"/>
        <w:ind w:left="360" w:hanging="360"/>
      </w:pPr>
      <w:r>
        <w:rPr>
          <w:sz w:val="17"/>
        </w:rPr>
        <w:t>[89] Y. Zhou, S. Shang, X. Song, S. Zhang, T. You et al., “Intelligent radar jamming recognition in open set environment based on deep learning networks,” Remote Sens., vol. 14, no. 24, art. 6220, 2022, doi: 10.3390/rs14246220. DOI</w:t>
      </w:r>
    </w:p>
    <w:p>
      <w:pPr>
        <w:keepLines/>
        <w:spacing w:after="60"/>
        <w:ind w:left="360" w:hanging="360"/>
      </w:pPr>
      <w:r>
        <w:rPr>
          <w:sz w:val="17"/>
        </w:rPr>
        <w:t>[90] Y. Xiao, R. Zhang, X. Yu, Y. Jiang, “Open-set recognition of compound jamming signal based on multi-task multi-label learning,” IET Radar Sonar Navig., vol. 18, no. 8, pp. 1235-1246, 2024, doi: 10.1049/rsn2.12561. DOI</w:t>
      </w:r>
    </w:p>
    <w:p>
      <w:pPr>
        <w:keepLines/>
        <w:spacing w:after="60"/>
        <w:ind w:left="360" w:hanging="360"/>
      </w:pPr>
      <w:r>
        <w:rPr>
          <w:sz w:val="17"/>
        </w:rPr>
        <w:t>[91] M. Ouyang, “An open-set jamming signal recognition method based on domain-specific network,” IET Commun., vol. 20, no. 1, 2026, doi: 10.1049/cmu2.70198. DOI</w:t>
      </w:r>
    </w:p>
    <w:p>
      <w:pPr>
        <w:keepLines/>
        <w:spacing w:after="60"/>
        <w:ind w:left="360" w:hanging="360"/>
      </w:pPr>
      <w:r>
        <w:rPr>
          <w:sz w:val="17"/>
        </w:rPr>
        <w:t>[92] Y. Liu, S. Han, Z. Lin, C. Guo, Q. Zhao, W. Chen, T. Qiu, “An open-set recognition method for active radar jamming signals based on multi-dimensional prototype feature constraints and adversarial reciprocal point learning,” Preprints.org (not peer-reviewed), 2025, doi: 10.20944/preprints202503.2079.v1. Link</w:t>
      </w:r>
    </w:p>
    <w:p>
      <w:pPr>
        <w:keepLines/>
        <w:spacing w:after="60"/>
        <w:ind w:left="360" w:hanging="360"/>
      </w:pPr>
      <w:r>
        <w:rPr>
          <w:sz w:val="17"/>
        </w:rPr>
        <w:t>[93] D. Hendrycks, M. Mazeika, T. Dietterich, “Deep Anomaly Detection with Outlier Exposure,” ICLR, 2019, arXiv:1812.04606. Primary record.</w:t>
      </w:r>
    </w:p>
    <w:p>
      <w:pPr>
        <w:keepLines/>
        <w:spacing w:after="60"/>
        <w:ind w:left="360" w:hanging="360"/>
      </w:pPr>
      <w:r>
        <w:rPr>
          <w:sz w:val="17"/>
        </w:rPr>
        <w:t>[94] L. Henneke, F. Kurth, “Approaching domain generalization with embeddings for robust discrimination and recognition of RF communication signals,” arXiv:2510.23186, 2025. Open access</w:t>
      </w:r>
    </w:p>
    <w:p>
      <w:pPr>
        <w:keepLines/>
        <w:spacing w:after="60"/>
        <w:ind w:left="360" w:hanging="360"/>
      </w:pPr>
      <w:r>
        <w:rPr>
          <w:sz w:val="17"/>
        </w:rPr>
        <w:t>[95] A. Bara, L. Bariah, H. Zou, B. Mefgouda, M. Debbah, “RF-Analyzer: Can vision-language models learn RF understanding from synthetic data?,” arXiv:2605.04676, 2026. Open access</w:t>
      </w:r>
    </w:p>
    <w:p>
      <w:pPr>
        <w:keepLines/>
        <w:spacing w:after="60"/>
        <w:ind w:left="360" w:hanging="360"/>
      </w:pPr>
      <w:r>
        <w:rPr>
          <w:sz w:val="17"/>
        </w:rPr>
        <w:t>[96] S. Kaufman, S. Rosset, C. Perlich, O. Stitelman, “Leakage in data mining: Formulation, detection, and avoidance,” ACM Transactions on Knowledge Discovery from Data, vol. 6, no. 4, art. 15, pp. 1–21, 2012. DOI: 10.1145/2382577.2382579. Publisher.</w:t>
      </w:r>
    </w:p>
    <w:p>
      <w:pPr>
        <w:keepLines/>
        <w:spacing w:after="60"/>
        <w:ind w:left="360" w:hanging="360"/>
      </w:pPr>
      <w:r>
        <w:rPr>
          <w:sz w:val="17"/>
        </w:rPr>
        <w:t>[97] scikit-learn developers, “Common pitfalls and recommended practices,” documentation, Section 12.2, accessed 23 October 2026. Official documentation.</w:t>
      </w:r>
    </w:p>
    <w:p>
      <w:pPr>
        <w:keepLines/>
        <w:spacing w:after="60"/>
        <w:ind w:left="360" w:hanging="360"/>
      </w:pPr>
      <w:r>
        <w:rPr>
          <w:sz w:val="17"/>
        </w:rPr>
        <w:t>[98] T. Chen, C. Guestrin, “XGBoost: A scalable tree boosting system,” Proc. ACM KDD, 2016, arXiv:1603.02754. Open access</w:t>
      </w:r>
    </w:p>
    <w:p>
      <w:pPr>
        <w:keepLines/>
        <w:spacing w:after="60"/>
        <w:ind w:left="360" w:hanging="360"/>
      </w:pPr>
      <w:r>
        <w:rPr>
          <w:sz w:val="17"/>
        </w:rPr>
        <w:t>[99] R. Liu, W. Zhu, S. Sun, W. Zhang, “Low-Latency Terrestrial Interference Detection for Satellite-to-Device Communications,” arXiv:2506.12908, 2025. Primary record.</w:t>
      </w:r>
    </w:p>
    <w:p>
      <w:pPr>
        <w:keepLines/>
        <w:spacing w:after="60"/>
        <w:ind w:left="360" w:hanging="360"/>
      </w:pPr>
      <w:r>
        <w:rPr>
          <w:sz w:val="17"/>
        </w:rPr>
        <w:t>[100] SnT SmartSpace, “Satellite on-board interference detection dataset,” dataset (non-commercial research use). Link</w:t>
      </w:r>
    </w:p>
    <w:p>
      <w:pPr>
        <w:keepLines/>
        <w:spacing w:after="60"/>
        <w:ind w:left="360" w:hanging="360"/>
      </w:pPr>
      <w:r>
        <w:rPr>
          <w:sz w:val="17"/>
        </w:rPr>
        <w:t>[101] SnT SmartSpace, “NGSO to GSO’s Users Interference,” research dataset, University of Luxembourg. Dataset description: https://fnr-smartspace-project.uni.lu/ngso-to-gsos-users-interference/ (usage rights require separate review).</w:t>
      </w:r>
    </w:p>
    <w:p>
      <w:pPr>
        <w:keepLines/>
        <w:spacing w:after="60"/>
        <w:ind w:left="360" w:hanging="360"/>
      </w:pPr>
      <w:r>
        <w:rPr>
          <w:sz w:val="17"/>
        </w:rPr>
        <w:t>[102] F. Ott, L. Heublein, N. L. Raichur, and A. Rügamer, “GNSS Interference Spectrum Highway Dataset 1,” IEEE DataPort, Oct. 31, 2024, doi: 10.21227/xpm9-tt28. Dataset description states CC BY-NC-SA 4.0. https://ieee-dataport.org/documents/gnss-interference-spectrum-highway-dataset-1</w:t>
      </w:r>
    </w:p>
    <w:p>
      <w:pPr>
        <w:keepLines/>
        <w:spacing w:after="60"/>
        <w:ind w:left="360" w:hanging="360"/>
      </w:pPr>
      <w:r>
        <w:rPr>
          <w:sz w:val="17"/>
        </w:rPr>
        <w:t>[103] Fraunhofer IIS, “Highway 2, LC Laboratory and Jammertest 2025 GNSS interference datasets,” Zenodo, licence per record. Highway 2 · LC Laboratory · Jammertest 2025</w:t>
      </w:r>
    </w:p>
    <w:p>
      <w:pPr>
        <w:keepLines/>
        <w:spacing w:after="60"/>
        <w:ind w:left="360" w:hanging="360"/>
      </w:pPr>
      <w:r>
        <w:rPr>
          <w:sz w:val="17"/>
        </w:rPr>
        <w:t>[104] D. Estévez, “Test of gr4-packet-modem through an Intelsat 37e C-band transponder,” Zenodo dataset, v1, 1 September 2024. DOI: 10.5281/zenodo.13371136. Dataset.</w:t>
      </w:r>
    </w:p>
    <w:p>
      <w:pPr>
        <w:keepLines/>
        <w:spacing w:after="60"/>
        <w:ind w:left="360" w:hanging="360"/>
      </w:pPr>
      <w:r>
        <w:rPr>
          <w:sz w:val="17"/>
        </w:rPr>
        <w:t>[105] ETSI, “Digital Video Broadcasting (DVB): Implementation guidelines; Part 2, S2 Extensions (DVB-S2X),” ETSI TR 102 376-2 V1.2.1, Jan. 2021, §§4.4.1.3–4.4.1.4. Official edition: https://www.etsi.org/deliver/etsi_tr/102300_102399/10237602/01.02.01_60/tr_10237602v010201p.pdf (2020 DVB BlueBook A171-2 is a preceding draft, not this publication).</w:t>
      </w:r>
    </w:p>
    <w:p>
      <w:pPr>
        <w:keepLines/>
        <w:spacing w:after="60"/>
        <w:ind w:left="360" w:hanging="360"/>
      </w:pPr>
      <w:r>
        <w:rPr>
          <w:sz w:val="17"/>
        </w:rPr>
        <w:t>[106] ETSI, “Digital Video Broadcasting (DVB); Part 1: DVB-S2,” ETSI EN 302 307-1 V1.4.1, Nov. 2014, informative Annex H.7, Figures H.2–H.4. https://www.etsi.org/deliver/etsi_en/302300_302399/30230701/01.04.01_60/en_30230701v010401p.pdf</w:t>
      </w:r>
    </w:p>
    <w:bookmarkEnd w:id="138"/>
    <w:bookmarkEnd w:id="139"/>
    <w:p>
      <w:r>
        <w:br w:type="page"/>
      </w:r>
    </w:p>
    <w:p>
      <w:pPr>
        <w:pStyle w:val="Heading2"/>
      </w:pPr>
      <w:r>
        <w:t>Editorial source-verification and version note</w:t>
      </w:r>
    </w:p>
    <w:p>
      <w:pPr>
        <w:pStyle w:val="BodyText"/>
      </w:pPr>
      <w:r>
        <w:t>Not part of the benchmark results. This editorial note records what was checked for the 25 October 2026 revision and what remains unverified. A verified reference record or a reviewed engineering plan is not an independent reproduction of an experimental claim.</w:t>
      </w:r>
    </w:p>
    <w:tbl>
      <w:tblPr>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tcPr>
          <w:p>
            <w:pPr>
              <w:spacing w:after="20"/>
            </w:pPr>
            <w:r>
              <w:rPr>
                <w:sz w:val="16"/>
              </w:rPr>
              <w:t>Topic</w:t>
            </w:r>
          </w:p>
        </w:tc>
        <w:tc>
          <w:tcPr>
            <w:tcW w:type="dxa" w:w="3213"/>
            <w:vAlign w:val="center"/>
          </w:tcPr>
          <w:p>
            <w:pPr>
              <w:spacing w:after="20"/>
            </w:pPr>
            <w:r>
              <w:rPr>
                <w:sz w:val="16"/>
              </w:rPr>
              <w:t>Current evidence</w:t>
            </w:r>
          </w:p>
        </w:tc>
        <w:tc>
          <w:tcPr>
            <w:tcW w:type="dxa" w:w="3213"/>
            <w:vAlign w:val="center"/>
          </w:tcPr>
          <w:p>
            <w:pPr>
              <w:spacing w:after="20"/>
            </w:pPr>
            <w:r>
              <w:rPr>
                <w:sz w:val="16"/>
              </w:rPr>
              <w:t>Publication disposition</w:t>
            </w:r>
          </w:p>
        </w:tc>
      </w:tr>
      <w:tr>
        <w:tc>
          <w:tcPr>
            <w:tcW w:type="dxa" w:w="3213"/>
            <w:vAlign w:val="center"/>
          </w:tcPr>
          <w:p>
            <w:pPr>
              <w:spacing w:after="20"/>
            </w:pPr>
            <w:r>
              <w:rPr>
                <w:sz w:val="16"/>
              </w:rPr>
              <w:t>ETSI DVB-S2X</w:t>
            </w:r>
          </w:p>
        </w:tc>
        <w:tc>
          <w:tcPr>
            <w:tcW w:type="dxa" w:w="3213"/>
            <w:vAlign w:val="center"/>
          </w:tcPr>
          <w:p>
            <w:pPr>
              <w:spacing w:after="20"/>
            </w:pPr>
            <w:r>
              <w:rPr>
                <w:sz w:val="16"/>
              </w:rPr>
              <w:t>TR 102 376-2 V1.2.1, 2021; §4.4.1.3–4.4.1.4 inspected on official PDF</w:t>
            </w:r>
          </w:p>
        </w:tc>
        <w:tc>
          <w:tcPr>
            <w:tcW w:type="dxa" w:w="3213"/>
            <w:vAlign w:val="center"/>
          </w:tcPr>
          <w:p>
            <w:pPr>
              <w:spacing w:after="20"/>
            </w:pPr>
            <w:r>
              <w:rPr>
                <w:sz w:val="16"/>
              </w:rPr>
              <w:t>Official source; 2020 BlueBook identified as superseded draft</w:t>
            </w:r>
          </w:p>
        </w:tc>
      </w:tr>
      <w:tr>
        <w:tc>
          <w:tcPr>
            <w:tcW w:type="dxa" w:w="3213"/>
            <w:vAlign w:val="center"/>
          </w:tcPr>
          <w:p>
            <w:pPr>
              <w:spacing w:after="20"/>
            </w:pPr>
            <w:r>
              <w:rPr>
                <w:sz w:val="16"/>
              </w:rPr>
              <w:t>EN 302 307-1</w:t>
            </w:r>
          </w:p>
        </w:tc>
        <w:tc>
          <w:tcPr>
            <w:tcW w:type="dxa" w:w="3213"/>
            <w:vAlign w:val="center"/>
          </w:tcPr>
          <w:p>
            <w:pPr>
              <w:spacing w:after="20"/>
            </w:pPr>
            <w:r>
              <w:rPr>
                <w:sz w:val="16"/>
              </w:rPr>
              <w:t>2014-11 V1.4.1, informative Annex H.7 and H.2–H.4 checked</w:t>
            </w:r>
          </w:p>
        </w:tc>
        <w:tc>
          <w:tcPr>
            <w:tcW w:type="dxa" w:w="3213"/>
            <w:vAlign w:val="center"/>
          </w:tcPr>
          <w:p>
            <w:pPr>
              <w:spacing w:after="20"/>
            </w:pPr>
            <w:r>
              <w:rPr>
                <w:sz w:val="16"/>
              </w:rPr>
              <w:t>Reference modelling example; digitization uncertainty remains</w:t>
            </w:r>
          </w:p>
        </w:tc>
      </w:tr>
      <w:tr>
        <w:tc>
          <w:tcPr>
            <w:tcW w:type="dxa" w:w="3213"/>
            <w:vAlign w:val="center"/>
          </w:tcPr>
          <w:p>
            <w:pPr>
              <w:spacing w:after="20"/>
            </w:pPr>
            <w:r>
              <w:rPr>
                <w:sz w:val="16"/>
              </w:rPr>
              <w:t>DataPort Highway Dataset 1</w:t>
            </w:r>
          </w:p>
        </w:tc>
        <w:tc>
          <w:tcPr>
            <w:tcW w:type="dxa" w:w="3213"/>
            <w:vAlign w:val="center"/>
          </w:tcPr>
          <w:p>
            <w:pPr>
              <w:spacing w:after="20"/>
            </w:pPr>
            <w:r>
              <w:rPr>
                <w:sz w:val="16"/>
              </w:rPr>
              <w:t>Original IEEE DataPort page: four citation authors and non-commercial share-alike licence explicitly described</w:t>
            </w:r>
          </w:p>
        </w:tc>
        <w:tc>
          <w:tcPr>
            <w:tcW w:type="dxa" w:w="3213"/>
            <w:vAlign w:val="center"/>
          </w:tcPr>
          <w:p>
            <w:pPr>
              <w:spacing w:after="20"/>
            </w:pPr>
            <w:r>
              <w:rPr>
                <w:sz w:val="16"/>
              </w:rPr>
              <w:t>Bibliography corrected; commercial permission is not inferred</w:t>
            </w:r>
          </w:p>
        </w:tc>
      </w:tr>
      <w:tr>
        <w:tc>
          <w:tcPr>
            <w:tcW w:type="dxa" w:w="3213"/>
            <w:vAlign w:val="center"/>
          </w:tcPr>
          <w:p>
            <w:pPr>
              <w:spacing w:after="20"/>
            </w:pPr>
            <w:r>
              <w:rPr>
                <w:sz w:val="16"/>
              </w:rPr>
              <w:t>SmartSpace dataset</w:t>
            </w:r>
          </w:p>
        </w:tc>
        <w:tc>
          <w:tcPr>
            <w:tcW w:type="dxa" w:w="3213"/>
            <w:vAlign w:val="center"/>
          </w:tcPr>
          <w:p>
            <w:pPr>
              <w:spacing w:after="20"/>
            </w:pPr>
            <w:r>
              <w:rPr>
                <w:sz w:val="16"/>
              </w:rPr>
              <w:t>Publisher-hosted page title “NGSO to GSO’s Users Interference”</w:t>
            </w:r>
          </w:p>
        </w:tc>
        <w:tc>
          <w:tcPr>
            <w:tcW w:type="dxa" w:w="3213"/>
            <w:vAlign w:val="center"/>
          </w:tcPr>
          <w:p>
            <w:pPr>
              <w:spacing w:after="20"/>
            </w:pPr>
            <w:r>
              <w:rPr>
                <w:sz w:val="16"/>
              </w:rPr>
              <w:t>Title corrected; access/licence terms still require review</w:t>
            </w:r>
          </w:p>
        </w:tc>
      </w:tr>
      <w:tr>
        <w:tc>
          <w:tcPr>
            <w:tcW w:type="dxa" w:w="3213"/>
            <w:vAlign w:val="center"/>
          </w:tcPr>
          <w:p>
            <w:pPr>
              <w:spacing w:after="20"/>
            </w:pPr>
            <w:r>
              <w:rPr>
                <w:sz w:val="16"/>
              </w:rPr>
              <w:t>Saleh / cyclostationarity</w:t>
            </w:r>
          </w:p>
        </w:tc>
        <w:tc>
          <w:tcPr>
            <w:tcW w:type="dxa" w:w="3213"/>
            <w:vAlign w:val="center"/>
          </w:tcPr>
          <w:p>
            <w:pPr>
              <w:spacing w:after="20"/>
            </w:pPr>
            <w:r>
              <w:rPr>
                <w:sz w:val="16"/>
              </w:rPr>
              <w:t>Primary citation metadata; source-specific model/SCF thresholds not fully replicated</w:t>
            </w:r>
          </w:p>
        </w:tc>
        <w:tc>
          <w:tcPr>
            <w:tcW w:type="dxa" w:w="3213"/>
            <w:vAlign w:val="center"/>
          </w:tcPr>
          <w:p>
            <w:pPr>
              <w:spacing w:after="20"/>
            </w:pPr>
            <w:r>
              <w:rPr>
                <w:sz w:val="16"/>
              </w:rPr>
              <w:t>Detailed theory implementation and reproducibility unverified</w:t>
            </w:r>
          </w:p>
        </w:tc>
      </w:tr>
      <w:tr>
        <w:tc>
          <w:tcPr>
            <w:tcW w:type="dxa" w:w="3213"/>
            <w:vAlign w:val="center"/>
          </w:tcPr>
          <w:p>
            <w:pPr>
              <w:spacing w:after="20"/>
            </w:pPr>
            <w:r>
              <w:rPr>
                <w:sz w:val="16"/>
              </w:rPr>
              <w:t>Stage A pilot</w:t>
            </w:r>
          </w:p>
        </w:tc>
        <w:tc>
          <w:tcPr>
            <w:tcW w:type="dxa" w:w="3213"/>
            <w:vAlign w:val="center"/>
          </w:tcPr>
          <w:p>
            <w:pPr>
              <w:spacing w:after="20"/>
            </w:pPr>
            <w:r>
              <w:rPr>
                <w:sz w:val="16"/>
              </w:rPr>
              <w:t>Prior project report documents 367-example pilot observations</w:t>
            </w:r>
          </w:p>
        </w:tc>
        <w:tc>
          <w:tcPr>
            <w:tcW w:type="dxa" w:w="3213"/>
            <w:vAlign w:val="center"/>
          </w:tcPr>
          <w:p>
            <w:pPr>
              <w:spacing w:after="20"/>
            </w:pPr>
            <w:r>
              <w:rPr>
                <w:sz w:val="16"/>
              </w:rPr>
              <w:t>Reported, not reproduced; no independent new execution</w:t>
            </w:r>
          </w:p>
        </w:tc>
      </w:tr>
      <w:tr>
        <w:tc>
          <w:tcPr>
            <w:tcW w:type="dxa" w:w="3213"/>
            <w:vAlign w:val="center"/>
          </w:tcPr>
          <w:p>
            <w:pPr>
              <w:spacing w:after="20"/>
            </w:pPr>
            <w:r>
              <w:rPr>
                <w:sz w:val="16"/>
              </w:rPr>
              <w:t>Stage B authorization</w:t>
            </w:r>
          </w:p>
        </w:tc>
        <w:tc>
          <w:tcPr>
            <w:tcW w:type="dxa" w:w="3213"/>
            <w:vAlign w:val="center"/>
          </w:tcPr>
          <w:p>
            <w:pPr>
              <w:spacing w:after="20"/>
            </w:pPr>
            <w:r>
              <w:rPr>
                <w:sz w:val="16"/>
              </w:rPr>
              <w:t>E9 and E12 documents record scientific decisions but explicitly execution NO-GO</w:t>
            </w:r>
          </w:p>
        </w:tc>
        <w:tc>
          <w:tcPr>
            <w:tcW w:type="dxa" w:w="3213"/>
            <w:vAlign w:val="center"/>
          </w:tcPr>
          <w:p>
            <w:pPr>
              <w:spacing w:after="20"/>
            </w:pPr>
            <w:r>
              <w:rPr>
                <w:sz w:val="16"/>
              </w:rPr>
              <w:t>No full run, new held-out observation or benchmark result</w:t>
            </w:r>
          </w:p>
        </w:tc>
      </w:tr>
      <w:tr>
        <w:tc>
          <w:tcPr>
            <w:tcW w:type="dxa" w:w="3213"/>
            <w:vAlign w:val="center"/>
          </w:tcPr>
          <w:p>
            <w:pPr>
              <w:spacing w:after="20"/>
            </w:pPr>
            <w:r>
              <w:rPr>
                <w:sz w:val="16"/>
              </w:rPr>
              <w:t>Numerical figures 2/3</w:t>
            </w:r>
          </w:p>
        </w:tc>
        <w:tc>
          <w:tcPr>
            <w:tcW w:type="dxa" w:w="3213"/>
            <w:vAlign w:val="center"/>
          </w:tcPr>
          <w:p>
            <w:pPr>
              <w:spacing w:after="20"/>
            </w:pPr>
            <w:r>
              <w:rPr>
                <w:sz w:val="16"/>
              </w:rPr>
              <w:t>No hashed source arrays, script and detailed reproducibility inputs supplied</w:t>
            </w:r>
          </w:p>
        </w:tc>
        <w:tc>
          <w:tcPr>
            <w:tcW w:type="dxa" w:w="3213"/>
            <w:vAlign w:val="center"/>
          </w:tcPr>
          <w:p>
            <w:pPr>
              <w:spacing w:after="20"/>
            </w:pPr>
            <w:r>
              <w:rPr>
                <w:sz w:val="16"/>
              </w:rPr>
              <w:t>Not recreated or substituted by invented curves</w:t>
            </w:r>
          </w:p>
        </w:tc>
      </w:tr>
    </w:tbl>
    <w:p>
      <w:pPr>
        <w:pStyle w:val="BodyText"/>
      </w:pPr>
      <w:r>
        <w:t>Source file identity (SHA-256): a7c6a3cb810655ed0a93b8169de1405fc8e0acb37efd82be43a9589d45d1e721</w:t>
      </w:r>
    </w:p>
    <w:p>
      <w:pPr>
        <w:pStyle w:val="BodyText"/>
      </w:pPr>
      <w:r>
        <w:t>First-citation bibliography numbering has been applied to this publication-oriented copy; stable identifiers R001–R106 remain recoverable from the companion reference-reconciliation JSON. The original V4 DOCX and legacy refs.json are unchanged.</w:t>
      </w:r>
    </w:p>
    <w:p>
      <w:pPr>
        <w:pStyle w:val="BodyText"/>
      </w:pPr>
      <w:r>
        <w:t>Open submission checks: independently inspect remaining unverified titles and source-specific numeric claims; reconcile all licences; run C1–C9 on a stable export with bibliography-aware heuristics; inspect every equation and figure in rendered output; approve a final publication text only after these checks.</w:t>
      </w:r>
    </w:p>
    <w:sectPr>
      <w:footerReference w:type="default" r:id="rId10"/>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GEO transponder interference review  |  Editorial V4.1  |  25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Aptos" w:hAnsi="Aptos"/>
      <w:sz w:val="19"/>
    </w:rPr>
  </w:style>
  <w:style w:styleId="BodyText" w:type="paragraph">
    <w:name w:val="Body Text"/>
    <w:basedOn w:val="Normal"/>
    <w:link w:val="BodyTextChar"/>
    <w:pPr>
      <w:spacing w:after="120" w:before="180"/>
    </w:pPr>
    <w:qFormat/>
    <w:rPr>
      <w:rFonts w:ascii="Aptos" w:hAnsi="Aptos"/>
      <w:sz w:val="19"/>
    </w:rPr>
  </w:style>
  <w:style w:customStyle="1" w:styleId="FirstParagraph" w:type="paragraph">
    <w:name w:val="First Paragraph"/>
    <w:basedOn w:val="BodyText"/>
    <w:next w:val="BodyText"/>
    <w:qFormat/>
    <w:pPr>
      <w:spacing w:after="120"/>
    </w:pPr>
    <w:rPr>
      <w:rFonts w:ascii="Aptos" w:hAnsi="Aptos"/>
      <w:sz w:val="19"/>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hyperlink" Target="http://phwl.org/assets/papers/cycloamc_fpt25.pdf" TargetMode="External"/><Relationship Id="rId104" Type="http://schemas.openxmlformats.org/officeDocument/2006/relationships/hyperlink" Target="https://arxiv.org/abs/1511.06233" TargetMode="External"/><Relationship Id="rId79" Type="http://schemas.openxmlformats.org/officeDocument/2006/relationships/hyperlink" Target="https://arxiv.org/abs/1512.03385" TargetMode="External"/><Relationship Id="rId121" Type="http://schemas.openxmlformats.org/officeDocument/2006/relationships/hyperlink" Target="https://arxiv.org/abs/1603.02754" TargetMode="External"/><Relationship Id="rId100" Type="http://schemas.openxmlformats.org/officeDocument/2006/relationships/hyperlink" Target="https://arxiv.org/abs/1610.02136" TargetMode="External"/><Relationship Id="rId101" Type="http://schemas.openxmlformats.org/officeDocument/2006/relationships/hyperlink" Target="https://arxiv.org/abs/1706.02690" TargetMode="External"/><Relationship Id="rId81" Type="http://schemas.openxmlformats.org/officeDocument/2006/relationships/hyperlink" Target="https://arxiv.org/abs/1709.07871" TargetMode="External"/><Relationship Id="rId73" Type="http://schemas.openxmlformats.org/officeDocument/2006/relationships/hyperlink" Target="https://arxiv.org/abs/1712.03987" TargetMode="External"/><Relationship Id="rId70" Type="http://schemas.openxmlformats.org/officeDocument/2006/relationships/hyperlink" Target="https://arxiv.org/abs/1712.04578" TargetMode="External"/><Relationship Id="rId39" Type="http://schemas.openxmlformats.org/officeDocument/2006/relationships/hyperlink" Target="https://arxiv.org/abs/1802.03958" TargetMode="External"/><Relationship Id="rId103" Type="http://schemas.openxmlformats.org/officeDocument/2006/relationships/hyperlink" Target="https://arxiv.org/abs/1807.03888" TargetMode="External"/><Relationship Id="rId107" Type="http://schemas.openxmlformats.org/officeDocument/2006/relationships/hyperlink" Target="https://arxiv.org/abs/1811.04110" TargetMode="External"/><Relationship Id="rId93" Type="http://schemas.openxmlformats.org/officeDocument/2006/relationships/hyperlink" Target="https://arxiv.org/abs/1811.04521" TargetMode="External"/><Relationship Id="rId98" Type="http://schemas.openxmlformats.org/officeDocument/2006/relationships/hyperlink" Target="https://arxiv.org/abs/1811.08581" TargetMode="External"/><Relationship Id="rId133" Type="http://schemas.openxmlformats.org/officeDocument/2006/relationships/hyperlink" Target="https://arxiv.org/abs/1812.04606" TargetMode="External"/><Relationship Id="rId49" Type="http://schemas.openxmlformats.org/officeDocument/2006/relationships/hyperlink" Target="https://arxiv.org/abs/1906.03012" TargetMode="External"/><Relationship Id="rId50" Type="http://schemas.openxmlformats.org/officeDocument/2006/relationships/hyperlink" Target="https://arxiv.org/abs/1912.04716" TargetMode="External"/><Relationship Id="rId108" Type="http://schemas.openxmlformats.org/officeDocument/2006/relationships/hyperlink" Target="https://arxiv.org/abs/2002.12037" TargetMode="External"/><Relationship Id="rId74" Type="http://schemas.openxmlformats.org/officeDocument/2006/relationships/hyperlink" Target="https://arxiv.org/abs/2003.08359" TargetMode="External"/><Relationship Id="rId36" Type="http://schemas.openxmlformats.org/officeDocument/2006/relationships/hyperlink" Target="https://arxiv.org/abs/2007.10110" TargetMode="External"/><Relationship Id="rId102" Type="http://schemas.openxmlformats.org/officeDocument/2006/relationships/hyperlink" Target="https://arxiv.org/abs/2010.03759" TargetMode="External"/><Relationship Id="rId60" Type="http://schemas.openxmlformats.org/officeDocument/2006/relationships/hyperlink" Target="https://arxiv.org/abs/2101.10899" TargetMode="External"/><Relationship Id="rId105" Type="http://schemas.openxmlformats.org/officeDocument/2006/relationships/hyperlink" Target="https://arxiv.org/abs/2103.00953" TargetMode="External"/><Relationship Id="rId80" Type="http://schemas.openxmlformats.org/officeDocument/2006/relationships/hyperlink" Target="https://arxiv.org/abs/2104.01778" TargetMode="External"/><Relationship Id="rId77" Type="http://schemas.openxmlformats.org/officeDocument/2006/relationships/hyperlink" Target="https://arxiv.org/abs/2108.10056" TargetMode="External"/><Relationship Id="rId106" Type="http://schemas.openxmlformats.org/officeDocument/2006/relationships/hyperlink" Target="https://arxiv.org/abs/2110.06207" TargetMode="External"/><Relationship Id="rId99" Type="http://schemas.openxmlformats.org/officeDocument/2006/relationships/hyperlink" Target="https://arxiv.org/abs/2110.11334" TargetMode="External"/><Relationship Id="rId78" Type="http://schemas.openxmlformats.org/officeDocument/2006/relationships/hyperlink" Target="https://arxiv.org/abs/2112.08988" TargetMode="External"/><Relationship Id="rId71" Type="http://schemas.openxmlformats.org/officeDocument/2006/relationships/hyperlink" Target="https://arxiv.org/abs/2207.09918" TargetMode="External"/><Relationship Id="rId72" Type="http://schemas.openxmlformats.org/officeDocument/2006/relationships/hyperlink" Target="https://arxiv.org/abs/2211.10335" TargetMode="External"/><Relationship Id="rId113" Type="http://schemas.openxmlformats.org/officeDocument/2006/relationships/hyperlink" Target="https://arxiv.org/abs/2302.03749" TargetMode="External"/><Relationship Id="rId76" Type="http://schemas.openxmlformats.org/officeDocument/2006/relationships/hyperlink" Target="https://arxiv.org/abs/2303.03326" TargetMode="External"/><Relationship Id="rId112" Type="http://schemas.openxmlformats.org/officeDocument/2006/relationships/hyperlink" Target="https://arxiv.org/abs/2306.13895" TargetMode="External"/><Relationship Id="rId109" Type="http://schemas.openxmlformats.org/officeDocument/2006/relationships/hyperlink" Target="https://arxiv.org/abs/2312.13023" TargetMode="External"/><Relationship Id="rId91" Type="http://schemas.openxmlformats.org/officeDocument/2006/relationships/hyperlink" Target="https://arxiv.org/abs/2401.08318" TargetMode="External"/><Relationship Id="rId111" Type="http://schemas.openxmlformats.org/officeDocument/2006/relationships/hyperlink" Target="https://arxiv.org/abs/2405.05022" TargetMode="External"/><Relationship Id="rId110" Type="http://schemas.openxmlformats.org/officeDocument/2006/relationships/hyperlink" Target="https://arxiv.org/abs/2410.10265" TargetMode="External"/><Relationship Id="rId132" Type="http://schemas.openxmlformats.org/officeDocument/2006/relationships/hyperlink" Target="https://arxiv.org/abs/2410.14686" TargetMode="External"/><Relationship Id="rId66" Type="http://schemas.openxmlformats.org/officeDocument/2006/relationships/hyperlink" Target="https://arxiv.org/abs/2503.23775" TargetMode="External"/><Relationship Id="rId67" Type="http://schemas.openxmlformats.org/officeDocument/2006/relationships/hyperlink" Target="https://arxiv.org/abs/2504.10556" TargetMode="External"/><Relationship Id="rId130" Type="http://schemas.openxmlformats.org/officeDocument/2006/relationships/hyperlink" Target="https://arxiv.org/abs/2506.12908" TargetMode="External"/><Relationship Id="rId89" Type="http://schemas.openxmlformats.org/officeDocument/2006/relationships/hyperlink" Target="https://arxiv.org/abs/2506.14557" TargetMode="External"/><Relationship Id="rId92" Type="http://schemas.openxmlformats.org/officeDocument/2006/relationships/hyperlink" Target="https://arxiv.org/abs/2507.06849" TargetMode="External"/><Relationship Id="rId119" Type="http://schemas.openxmlformats.org/officeDocument/2006/relationships/hyperlink" Target="https://arxiv.org/abs/2510.23186" TargetMode="External"/><Relationship Id="rId120" Type="http://schemas.openxmlformats.org/officeDocument/2006/relationships/hyperlink" Target="https://arxiv.org/abs/2605.04676" TargetMode="External"/><Relationship Id="rId55" Type="http://schemas.openxmlformats.org/officeDocument/2006/relationships/hyperlink" Target="https://arxiv.org/abs/2606.14147" TargetMode="External"/><Relationship Id="rId68" Type="http://schemas.openxmlformats.org/officeDocument/2006/relationships/hyperlink" Target="https://arxiv.org/abs/2607.03411" TargetMode="External"/><Relationship Id="rId62" Type="http://schemas.openxmlformats.org/officeDocument/2006/relationships/hyperlink" Target="https://doi.org/10.1002/sat.1482" TargetMode="External"/><Relationship Id="rId84" Type="http://schemas.openxmlformats.org/officeDocument/2006/relationships/hyperlink" Target="https://doi.org/10.1002/sat.791" TargetMode="External"/><Relationship Id="rId131" Type="http://schemas.openxmlformats.org/officeDocument/2006/relationships/hyperlink" Target="https://doi.org/10.1017/S0373463324000134" TargetMode="External"/><Relationship Id="rId117" Type="http://schemas.openxmlformats.org/officeDocument/2006/relationships/hyperlink" Target="https://doi.org/10.1049/cmu2.70198" TargetMode="External"/><Relationship Id="rId87" Type="http://schemas.openxmlformats.org/officeDocument/2006/relationships/hyperlink" Target="https://doi.org/10.1049/el.2014.1172" TargetMode="External"/><Relationship Id="rId94" Type="http://schemas.openxmlformats.org/officeDocument/2006/relationships/hyperlink" Target="https://doi.org/10.1049/joe.2015.0178" TargetMode="External"/><Relationship Id="rId116" Type="http://schemas.openxmlformats.org/officeDocument/2006/relationships/hyperlink" Target="https://doi.org/10.1049/rsn2.12561" TargetMode="External"/><Relationship Id="rId42" Type="http://schemas.openxmlformats.org/officeDocument/2006/relationships/hyperlink" Target="https://doi.org/10.1109/79.81007" TargetMode="External"/><Relationship Id="rId135" Type="http://schemas.openxmlformats.org/officeDocument/2006/relationships/hyperlink" Target="https://doi.org/10.1109/EEI59236.2023.10212784" TargetMode="External"/><Relationship Id="rId65" Type="http://schemas.openxmlformats.org/officeDocument/2006/relationships/hyperlink" Target="https://doi.org/10.1109/ICL-GNSS60721.2024.10578525" TargetMode="External"/><Relationship Id="rId83" Type="http://schemas.openxmlformats.org/officeDocument/2006/relationships/hyperlink" Target="https://doi.org/10.1109/JPROC.2005.861013" TargetMode="External"/><Relationship Id="rId38" Type="http://schemas.openxmlformats.org/officeDocument/2006/relationships/hyperlink" Target="https://doi.org/10.1109/MCOM.001.2000367" TargetMode="External"/><Relationship Id="rId40" Type="http://schemas.openxmlformats.org/officeDocument/2006/relationships/hyperlink" Target="https://doi.org/10.1109/SPAWC.2016.7536813" TargetMode="External"/><Relationship Id="rId69" Type="http://schemas.openxmlformats.org/officeDocument/2006/relationships/hyperlink" Target="https://doi.org/10.1109/TAES.2024.3462662" TargetMode="External"/><Relationship Id="rId82" Type="http://schemas.openxmlformats.org/officeDocument/2006/relationships/hyperlink" Target="https://doi.org/10.1109/TCOM.1981.1094911" TargetMode="External"/><Relationship Id="rId86" Type="http://schemas.openxmlformats.org/officeDocument/2006/relationships/hyperlink" Target="https://doi.org/10.1109/TCOMM.2011.042111.100320" TargetMode="External"/><Relationship Id="rId54" Type="http://schemas.openxmlformats.org/officeDocument/2006/relationships/hyperlink" Target="https://doi.org/10.1109/TMLCN.2024.3418933" TargetMode="External"/><Relationship Id="rId97" Type="http://schemas.openxmlformats.org/officeDocument/2006/relationships/hyperlink" Target="https://doi.org/10.1109/VTCFall.2013.6692242" TargetMode="External"/><Relationship Id="rId137" Type="http://schemas.openxmlformats.org/officeDocument/2006/relationships/hyperlink" Target="https://doi.org/10.1145/2382577.2382579" TargetMode="External"/><Relationship Id="rId56" Type="http://schemas.openxmlformats.org/officeDocument/2006/relationships/hyperlink" Target="https://doi.org/10.1145/3231884.3231901" TargetMode="External"/><Relationship Id="rId63" Type="http://schemas.openxmlformats.org/officeDocument/2006/relationships/hyperlink" Target="https://doi.org/10.33012/2022.18586" TargetMode="External"/><Relationship Id="rId114" Type="http://schemas.openxmlformats.org/officeDocument/2006/relationships/hyperlink" Target="https://doi.org/10.3390/app12094380" TargetMode="External"/><Relationship Id="rId115" Type="http://schemas.openxmlformats.org/officeDocument/2006/relationships/hyperlink" Target="https://doi.org/10.3390/rs14246220" TargetMode="External"/><Relationship Id="rId64" Type="http://schemas.openxmlformats.org/officeDocument/2006/relationships/hyperlink" Target="https://doi.org/10.3390/s23073452" TargetMode="External"/><Relationship Id="rId123" Type="http://schemas.openxmlformats.org/officeDocument/2006/relationships/hyperlink" Target="https://fnr-smartspace-project.uni.lu/ngso-to-gsos-users-interference/" TargetMode="External"/><Relationship Id="rId122" Type="http://schemas.openxmlformats.org/officeDocument/2006/relationships/hyperlink" Target="https://fnr-smartspace-project.uni.lu/satellite-on-board-interference-detection/" TargetMode="External"/><Relationship Id="rId136" Type="http://schemas.openxmlformats.org/officeDocument/2006/relationships/hyperlink" Target="https://github.com/TorchDSP/torchsig/blob/main/README.md" TargetMode="External"/><Relationship Id="rId124" Type="http://schemas.openxmlformats.org/officeDocument/2006/relationships/hyperlink" Target="https://ieee-dataport.org/documents/gnss-interference-spectrum-highway-dataset-1" TargetMode="External"/><Relationship Id="rId57" Type="http://schemas.openxmlformats.org/officeDocument/2006/relationships/hyperlink" Target="https://ieeexplore.ieee.org/document/10823708/" TargetMode="External"/><Relationship Id="rId96" Type="http://schemas.openxmlformats.org/officeDocument/2006/relationships/hyperlink" Target="https://ieeexplore.ieee.org/document/6967240/" TargetMode="External"/><Relationship Id="rId95" Type="http://schemas.openxmlformats.org/officeDocument/2006/relationships/hyperlink" Target="https://ipnpr.jpl.nasa.gov/progress_report/42-213/42-213A.pdf" TargetMode="External"/><Relationship Id="rId41" Type="http://schemas.openxmlformats.org/officeDocument/2006/relationships/hyperlink" Target="https://orbilu.uni.lu/bitstream/10993/29259/1/icassp_final.pdf" TargetMode="External"/><Relationship Id="rId51" Type="http://schemas.openxmlformats.org/officeDocument/2006/relationships/hyperlink" Target="https://orbilu.uni.lu/bitstream/10993/55407/1/ICASSP_2023_Saed.pdf" TargetMode="External"/><Relationship Id="rId53" Type="http://schemas.openxmlformats.org/officeDocument/2006/relationships/hyperlink" Target="https://orbilu.uni.lu/bitstream/10993/60597/1/Moatssim__ICC__Final.pdf" TargetMode="External"/><Relationship Id="rId61" Type="http://schemas.openxmlformats.org/officeDocument/2006/relationships/hyperlink" Target="https://orbilu.uni.lu/bitstream/10993/65397/1/Artificial_Intelligence_for_Satellite_Communication_A_Survey.pdf" TargetMode="External"/><Relationship Id="rId90" Type="http://schemas.openxmlformats.org/officeDocument/2006/relationships/hyperlink" Target="https://pmc.ncbi.nlm.nih.gov/articles/PMC12197282/" TargetMode="External"/><Relationship Id="rId128" Type="http://schemas.openxmlformats.org/officeDocument/2006/relationships/hyperlink" Target="https://scikit-learn.org/stable/common_pitfalls.html" TargetMode="External"/><Relationship Id="rId48" Type="http://schemas.openxmlformats.org/officeDocument/2006/relationships/hyperlink" Target="https://www.calian.com/advanced-technologies/space-satcom/decimator-carrier-under-carrier-detection/" TargetMode="External"/><Relationship Id="rId129" Type="http://schemas.openxmlformats.org/officeDocument/2006/relationships/hyperlink" Target="https://www.etsi.org/deliver/etsi_en/302300_302399/30230701/01.04.01_60/en_30230701v010401p.pdf" TargetMode="External"/><Relationship Id="rId85" Type="http://schemas.openxmlformats.org/officeDocument/2006/relationships/hyperlink" Target="https://www.etsi.org/deliver/etsi_tr/102300_102399/10237602/01.02.01_60/tr_10237602v010201p.pdf" TargetMode="External"/><Relationship Id="rId47" Type="http://schemas.openxmlformats.org/officeDocument/2006/relationships/hyperlink" Target="https://www.integrasys-space.com/interference-detection" TargetMode="External"/><Relationship Id="rId44" Type="http://schemas.openxmlformats.org/officeDocument/2006/relationships/hyperlink" Target="https://www.itu.int/dms_pubrec/itu-r/rec/s/R-REC-S.2062-0-201409-I!!PDF-E.pdf" TargetMode="External"/><Relationship Id="rId35" Type="http://schemas.openxmlformats.org/officeDocument/2006/relationships/hyperlink" Target="https://www.kratosspace.com/-/media/communications/pdf/fact-sheet---complete-vsat-interference-mitigation.pdf" TargetMode="External"/><Relationship Id="rId37" Type="http://schemas.openxmlformats.org/officeDocument/2006/relationships/hyperlink" Target="https://www.kratosspace.com/sdatracker/kratos-knownspace-detects-sustained-iran-origin-rf-interference-targeting-geo-communications" TargetMode="External"/><Relationship Id="rId43" Type="http://schemas.openxmlformats.org/officeDocument/2006/relationships/hyperlink" Target="https://www.mdpi.com/1424-8220/20/2/355" TargetMode="External"/><Relationship Id="rId59" Type="http://schemas.openxmlformats.org/officeDocument/2006/relationships/hyperlink" Target="https://www.mdpi.com/2226-4310/10/2/101" TargetMode="External"/><Relationship Id="rId34" Type="http://schemas.openxmlformats.org/officeDocument/2006/relationships/hyperlink" Target="https://www.microwavejournal.com/articles/18088-tackling-satellite-interference" TargetMode="External"/><Relationship Id="rId118" Type="http://schemas.openxmlformats.org/officeDocument/2006/relationships/hyperlink" Target="https://www.preprints.org/manuscript/202503.2079" TargetMode="External"/><Relationship Id="rId88" Type="http://schemas.openxmlformats.org/officeDocument/2006/relationships/hyperlink" Target="https://www.researchgate.net/publication/349494998" TargetMode="External"/><Relationship Id="rId46" Type="http://schemas.openxmlformats.org/officeDocument/2006/relationships/hyperlink" Target="https://www.rohde-schwarz.com/us/products/aerospace-defense-security/secure-communications-options/rs-gsacsm-communications-system-monitoring_63493-636288.html" TargetMode="External"/><Relationship Id="rId33" Type="http://schemas.openxmlformats.org/officeDocument/2006/relationships/hyperlink" Target="https://www.satellitetoday.com/connectivity/2005/08/01/satellite-operators-target-interference-problem/" TargetMode="External"/><Relationship Id="rId45" Type="http://schemas.openxmlformats.org/officeDocument/2006/relationships/hyperlink" Target="https://www.satellitetoday.com/technology/2014/03/26/preventing-adjacent-satellite-interference/" TargetMode="External"/><Relationship Id="rId58" Type="http://schemas.openxmlformats.org/officeDocument/2006/relationships/hyperlink" Target="https://www.semanticscholar.org/paper/08c7cf481ab890ff1f6f8c45353fa4c4bc9406bc" TargetMode="External"/><Relationship Id="rId52" Type="http://schemas.openxmlformats.org/officeDocument/2006/relationships/hyperlink" Target="https://www.semanticscholar.org/paper/2e58ac0017ce6245ed8328d3e892e0fe7c7360a4" TargetMode="External"/><Relationship Id="rId134" Type="http://schemas.openxmlformats.org/officeDocument/2006/relationships/hyperlink" Target="https://zenodo.org/records/13371136" TargetMode="External"/><Relationship Id="rId127" Type="http://schemas.openxmlformats.org/officeDocument/2006/relationships/hyperlink" Target="https://zenodo.org/records/21332689" TargetMode="External"/><Relationship Id="rId126" Type="http://schemas.openxmlformats.org/officeDocument/2006/relationships/hyperlink" Target="https://zenodo.org/records/21333335" TargetMode="External"/><Relationship Id="rId125" Type="http://schemas.openxmlformats.org/officeDocument/2006/relationships/hyperlink" Target="https://zenodo.org/records/21336653"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5" Type="http://schemas.openxmlformats.org/officeDocument/2006/relationships/hyperlink" Target="http://phwl.org/assets/papers/cycloamc_fpt25.pdf" TargetMode="External"/><Relationship Id="rId104" Type="http://schemas.openxmlformats.org/officeDocument/2006/relationships/hyperlink" Target="https://arxiv.org/abs/1511.06233" TargetMode="External"/><Relationship Id="rId79" Type="http://schemas.openxmlformats.org/officeDocument/2006/relationships/hyperlink" Target="https://arxiv.org/abs/1512.03385" TargetMode="External"/><Relationship Id="rId121" Type="http://schemas.openxmlformats.org/officeDocument/2006/relationships/hyperlink" Target="https://arxiv.org/abs/1603.02754" TargetMode="External"/><Relationship Id="rId100" Type="http://schemas.openxmlformats.org/officeDocument/2006/relationships/hyperlink" Target="https://arxiv.org/abs/1610.02136" TargetMode="External"/><Relationship Id="rId101" Type="http://schemas.openxmlformats.org/officeDocument/2006/relationships/hyperlink" Target="https://arxiv.org/abs/1706.02690" TargetMode="External"/><Relationship Id="rId81" Type="http://schemas.openxmlformats.org/officeDocument/2006/relationships/hyperlink" Target="https://arxiv.org/abs/1709.07871" TargetMode="External"/><Relationship Id="rId73" Type="http://schemas.openxmlformats.org/officeDocument/2006/relationships/hyperlink" Target="https://arxiv.org/abs/1712.03987" TargetMode="External"/><Relationship Id="rId70" Type="http://schemas.openxmlformats.org/officeDocument/2006/relationships/hyperlink" Target="https://arxiv.org/abs/1712.04578" TargetMode="External"/><Relationship Id="rId39" Type="http://schemas.openxmlformats.org/officeDocument/2006/relationships/hyperlink" Target="https://arxiv.org/abs/1802.03958" TargetMode="External"/><Relationship Id="rId103" Type="http://schemas.openxmlformats.org/officeDocument/2006/relationships/hyperlink" Target="https://arxiv.org/abs/1807.03888" TargetMode="External"/><Relationship Id="rId107" Type="http://schemas.openxmlformats.org/officeDocument/2006/relationships/hyperlink" Target="https://arxiv.org/abs/1811.04110" TargetMode="External"/><Relationship Id="rId93" Type="http://schemas.openxmlformats.org/officeDocument/2006/relationships/hyperlink" Target="https://arxiv.org/abs/1811.04521" TargetMode="External"/><Relationship Id="rId98" Type="http://schemas.openxmlformats.org/officeDocument/2006/relationships/hyperlink" Target="https://arxiv.org/abs/1811.08581" TargetMode="External"/><Relationship Id="rId133" Type="http://schemas.openxmlformats.org/officeDocument/2006/relationships/hyperlink" Target="https://arxiv.org/abs/1812.04606" TargetMode="External"/><Relationship Id="rId49" Type="http://schemas.openxmlformats.org/officeDocument/2006/relationships/hyperlink" Target="https://arxiv.org/abs/1906.03012" TargetMode="External"/><Relationship Id="rId50" Type="http://schemas.openxmlformats.org/officeDocument/2006/relationships/hyperlink" Target="https://arxiv.org/abs/1912.04716" TargetMode="External"/><Relationship Id="rId108" Type="http://schemas.openxmlformats.org/officeDocument/2006/relationships/hyperlink" Target="https://arxiv.org/abs/2002.12037" TargetMode="External"/><Relationship Id="rId74" Type="http://schemas.openxmlformats.org/officeDocument/2006/relationships/hyperlink" Target="https://arxiv.org/abs/2003.08359" TargetMode="External"/><Relationship Id="rId36" Type="http://schemas.openxmlformats.org/officeDocument/2006/relationships/hyperlink" Target="https://arxiv.org/abs/2007.10110" TargetMode="External"/><Relationship Id="rId102" Type="http://schemas.openxmlformats.org/officeDocument/2006/relationships/hyperlink" Target="https://arxiv.org/abs/2010.03759" TargetMode="External"/><Relationship Id="rId60" Type="http://schemas.openxmlformats.org/officeDocument/2006/relationships/hyperlink" Target="https://arxiv.org/abs/2101.10899" TargetMode="External"/><Relationship Id="rId105" Type="http://schemas.openxmlformats.org/officeDocument/2006/relationships/hyperlink" Target="https://arxiv.org/abs/2103.00953" TargetMode="External"/><Relationship Id="rId80" Type="http://schemas.openxmlformats.org/officeDocument/2006/relationships/hyperlink" Target="https://arxiv.org/abs/2104.01778" TargetMode="External"/><Relationship Id="rId77" Type="http://schemas.openxmlformats.org/officeDocument/2006/relationships/hyperlink" Target="https://arxiv.org/abs/2108.10056" TargetMode="External"/><Relationship Id="rId106" Type="http://schemas.openxmlformats.org/officeDocument/2006/relationships/hyperlink" Target="https://arxiv.org/abs/2110.06207" TargetMode="External"/><Relationship Id="rId99" Type="http://schemas.openxmlformats.org/officeDocument/2006/relationships/hyperlink" Target="https://arxiv.org/abs/2110.11334" TargetMode="External"/><Relationship Id="rId78" Type="http://schemas.openxmlformats.org/officeDocument/2006/relationships/hyperlink" Target="https://arxiv.org/abs/2112.08988" TargetMode="External"/><Relationship Id="rId71" Type="http://schemas.openxmlformats.org/officeDocument/2006/relationships/hyperlink" Target="https://arxiv.org/abs/2207.09918" TargetMode="External"/><Relationship Id="rId72" Type="http://schemas.openxmlformats.org/officeDocument/2006/relationships/hyperlink" Target="https://arxiv.org/abs/2211.10335" TargetMode="External"/><Relationship Id="rId113" Type="http://schemas.openxmlformats.org/officeDocument/2006/relationships/hyperlink" Target="https://arxiv.org/abs/2302.03749" TargetMode="External"/><Relationship Id="rId76" Type="http://schemas.openxmlformats.org/officeDocument/2006/relationships/hyperlink" Target="https://arxiv.org/abs/2303.03326" TargetMode="External"/><Relationship Id="rId112" Type="http://schemas.openxmlformats.org/officeDocument/2006/relationships/hyperlink" Target="https://arxiv.org/abs/2306.13895" TargetMode="External"/><Relationship Id="rId109" Type="http://schemas.openxmlformats.org/officeDocument/2006/relationships/hyperlink" Target="https://arxiv.org/abs/2312.13023" TargetMode="External"/><Relationship Id="rId91" Type="http://schemas.openxmlformats.org/officeDocument/2006/relationships/hyperlink" Target="https://arxiv.org/abs/2401.08318" TargetMode="External"/><Relationship Id="rId111" Type="http://schemas.openxmlformats.org/officeDocument/2006/relationships/hyperlink" Target="https://arxiv.org/abs/2405.05022" TargetMode="External"/><Relationship Id="rId110" Type="http://schemas.openxmlformats.org/officeDocument/2006/relationships/hyperlink" Target="https://arxiv.org/abs/2410.10265" TargetMode="External"/><Relationship Id="rId132" Type="http://schemas.openxmlformats.org/officeDocument/2006/relationships/hyperlink" Target="https://arxiv.org/abs/2410.14686" TargetMode="External"/><Relationship Id="rId66" Type="http://schemas.openxmlformats.org/officeDocument/2006/relationships/hyperlink" Target="https://arxiv.org/abs/2503.23775" TargetMode="External"/><Relationship Id="rId67" Type="http://schemas.openxmlformats.org/officeDocument/2006/relationships/hyperlink" Target="https://arxiv.org/abs/2504.10556" TargetMode="External"/><Relationship Id="rId130" Type="http://schemas.openxmlformats.org/officeDocument/2006/relationships/hyperlink" Target="https://arxiv.org/abs/2506.12908" TargetMode="External"/><Relationship Id="rId89" Type="http://schemas.openxmlformats.org/officeDocument/2006/relationships/hyperlink" Target="https://arxiv.org/abs/2506.14557" TargetMode="External"/><Relationship Id="rId92" Type="http://schemas.openxmlformats.org/officeDocument/2006/relationships/hyperlink" Target="https://arxiv.org/abs/2507.06849" TargetMode="External"/><Relationship Id="rId119" Type="http://schemas.openxmlformats.org/officeDocument/2006/relationships/hyperlink" Target="https://arxiv.org/abs/2510.23186" TargetMode="External"/><Relationship Id="rId120" Type="http://schemas.openxmlformats.org/officeDocument/2006/relationships/hyperlink" Target="https://arxiv.org/abs/2605.04676" TargetMode="External"/><Relationship Id="rId55" Type="http://schemas.openxmlformats.org/officeDocument/2006/relationships/hyperlink" Target="https://arxiv.org/abs/2606.14147" TargetMode="External"/><Relationship Id="rId68" Type="http://schemas.openxmlformats.org/officeDocument/2006/relationships/hyperlink" Target="https://arxiv.org/abs/2607.03411" TargetMode="External"/><Relationship Id="rId62" Type="http://schemas.openxmlformats.org/officeDocument/2006/relationships/hyperlink" Target="https://doi.org/10.1002/sat.1482" TargetMode="External"/><Relationship Id="rId84" Type="http://schemas.openxmlformats.org/officeDocument/2006/relationships/hyperlink" Target="https://doi.org/10.1002/sat.791" TargetMode="External"/><Relationship Id="rId131" Type="http://schemas.openxmlformats.org/officeDocument/2006/relationships/hyperlink" Target="https://doi.org/10.1017/S0373463324000134" TargetMode="External"/><Relationship Id="rId117" Type="http://schemas.openxmlformats.org/officeDocument/2006/relationships/hyperlink" Target="https://doi.org/10.1049/cmu2.70198" TargetMode="External"/><Relationship Id="rId87" Type="http://schemas.openxmlformats.org/officeDocument/2006/relationships/hyperlink" Target="https://doi.org/10.1049/el.2014.1172" TargetMode="External"/><Relationship Id="rId94" Type="http://schemas.openxmlformats.org/officeDocument/2006/relationships/hyperlink" Target="https://doi.org/10.1049/joe.2015.0178" TargetMode="External"/><Relationship Id="rId116" Type="http://schemas.openxmlformats.org/officeDocument/2006/relationships/hyperlink" Target="https://doi.org/10.1049/rsn2.12561" TargetMode="External"/><Relationship Id="rId42" Type="http://schemas.openxmlformats.org/officeDocument/2006/relationships/hyperlink" Target="https://doi.org/10.1109/79.81007" TargetMode="External"/><Relationship Id="rId135" Type="http://schemas.openxmlformats.org/officeDocument/2006/relationships/hyperlink" Target="https://doi.org/10.1109/EEI59236.2023.10212784" TargetMode="External"/><Relationship Id="rId65" Type="http://schemas.openxmlformats.org/officeDocument/2006/relationships/hyperlink" Target="https://doi.org/10.1109/ICL-GNSS60721.2024.10578525" TargetMode="External"/><Relationship Id="rId83" Type="http://schemas.openxmlformats.org/officeDocument/2006/relationships/hyperlink" Target="https://doi.org/10.1109/JPROC.2005.861013" TargetMode="External"/><Relationship Id="rId38" Type="http://schemas.openxmlformats.org/officeDocument/2006/relationships/hyperlink" Target="https://doi.org/10.1109/MCOM.001.2000367" TargetMode="External"/><Relationship Id="rId40" Type="http://schemas.openxmlformats.org/officeDocument/2006/relationships/hyperlink" Target="https://doi.org/10.1109/SPAWC.2016.7536813" TargetMode="External"/><Relationship Id="rId69" Type="http://schemas.openxmlformats.org/officeDocument/2006/relationships/hyperlink" Target="https://doi.org/10.1109/TAES.2024.3462662" TargetMode="External"/><Relationship Id="rId82" Type="http://schemas.openxmlformats.org/officeDocument/2006/relationships/hyperlink" Target="https://doi.org/10.1109/TCOM.1981.1094911" TargetMode="External"/><Relationship Id="rId86" Type="http://schemas.openxmlformats.org/officeDocument/2006/relationships/hyperlink" Target="https://doi.org/10.1109/TCOMM.2011.042111.100320" TargetMode="External"/><Relationship Id="rId54" Type="http://schemas.openxmlformats.org/officeDocument/2006/relationships/hyperlink" Target="https://doi.org/10.1109/TMLCN.2024.3418933" TargetMode="External"/><Relationship Id="rId97" Type="http://schemas.openxmlformats.org/officeDocument/2006/relationships/hyperlink" Target="https://doi.org/10.1109/VTCFall.2013.6692242" TargetMode="External"/><Relationship Id="rId137" Type="http://schemas.openxmlformats.org/officeDocument/2006/relationships/hyperlink" Target="https://doi.org/10.1145/2382577.2382579" TargetMode="External"/><Relationship Id="rId56" Type="http://schemas.openxmlformats.org/officeDocument/2006/relationships/hyperlink" Target="https://doi.org/10.1145/3231884.3231901" TargetMode="External"/><Relationship Id="rId63" Type="http://schemas.openxmlformats.org/officeDocument/2006/relationships/hyperlink" Target="https://doi.org/10.33012/2022.18586" TargetMode="External"/><Relationship Id="rId114" Type="http://schemas.openxmlformats.org/officeDocument/2006/relationships/hyperlink" Target="https://doi.org/10.3390/app12094380" TargetMode="External"/><Relationship Id="rId115" Type="http://schemas.openxmlformats.org/officeDocument/2006/relationships/hyperlink" Target="https://doi.org/10.3390/rs14246220" TargetMode="External"/><Relationship Id="rId64" Type="http://schemas.openxmlformats.org/officeDocument/2006/relationships/hyperlink" Target="https://doi.org/10.3390/s23073452" TargetMode="External"/><Relationship Id="rId123" Type="http://schemas.openxmlformats.org/officeDocument/2006/relationships/hyperlink" Target="https://fnr-smartspace-project.uni.lu/ngso-to-gsos-users-interference/" TargetMode="External"/><Relationship Id="rId122" Type="http://schemas.openxmlformats.org/officeDocument/2006/relationships/hyperlink" Target="https://fnr-smartspace-project.uni.lu/satellite-on-board-interference-detection/" TargetMode="External"/><Relationship Id="rId136" Type="http://schemas.openxmlformats.org/officeDocument/2006/relationships/hyperlink" Target="https://github.com/TorchDSP/torchsig/blob/main/README.md" TargetMode="External"/><Relationship Id="rId124" Type="http://schemas.openxmlformats.org/officeDocument/2006/relationships/hyperlink" Target="https://ieee-dataport.org/documents/gnss-interference-spectrum-highway-dataset-1" TargetMode="External"/><Relationship Id="rId57" Type="http://schemas.openxmlformats.org/officeDocument/2006/relationships/hyperlink" Target="https://ieeexplore.ieee.org/document/10823708/" TargetMode="External"/><Relationship Id="rId96" Type="http://schemas.openxmlformats.org/officeDocument/2006/relationships/hyperlink" Target="https://ieeexplore.ieee.org/document/6967240/" TargetMode="External"/><Relationship Id="rId95" Type="http://schemas.openxmlformats.org/officeDocument/2006/relationships/hyperlink" Target="https://ipnpr.jpl.nasa.gov/progress_report/42-213/42-213A.pdf" TargetMode="External"/><Relationship Id="rId41" Type="http://schemas.openxmlformats.org/officeDocument/2006/relationships/hyperlink" Target="https://orbilu.uni.lu/bitstream/10993/29259/1/icassp_final.pdf" TargetMode="External"/><Relationship Id="rId51" Type="http://schemas.openxmlformats.org/officeDocument/2006/relationships/hyperlink" Target="https://orbilu.uni.lu/bitstream/10993/55407/1/ICASSP_2023_Saed.pdf" TargetMode="External"/><Relationship Id="rId53" Type="http://schemas.openxmlformats.org/officeDocument/2006/relationships/hyperlink" Target="https://orbilu.uni.lu/bitstream/10993/60597/1/Moatssim__ICC__Final.pdf" TargetMode="External"/><Relationship Id="rId61" Type="http://schemas.openxmlformats.org/officeDocument/2006/relationships/hyperlink" Target="https://orbilu.uni.lu/bitstream/10993/65397/1/Artificial_Intelligence_for_Satellite_Communication_A_Survey.pdf" TargetMode="External"/><Relationship Id="rId90" Type="http://schemas.openxmlformats.org/officeDocument/2006/relationships/hyperlink" Target="https://pmc.ncbi.nlm.nih.gov/articles/PMC12197282/" TargetMode="External"/><Relationship Id="rId128" Type="http://schemas.openxmlformats.org/officeDocument/2006/relationships/hyperlink" Target="https://scikit-learn.org/stable/common_pitfalls.html" TargetMode="External"/><Relationship Id="rId48" Type="http://schemas.openxmlformats.org/officeDocument/2006/relationships/hyperlink" Target="https://www.calian.com/advanced-technologies/space-satcom/decimator-carrier-under-carrier-detection/" TargetMode="External"/><Relationship Id="rId129" Type="http://schemas.openxmlformats.org/officeDocument/2006/relationships/hyperlink" Target="https://www.etsi.org/deliver/etsi_en/302300_302399/30230701/01.04.01_60/en_30230701v010401p.pdf" TargetMode="External"/><Relationship Id="rId85" Type="http://schemas.openxmlformats.org/officeDocument/2006/relationships/hyperlink" Target="https://www.etsi.org/deliver/etsi_tr/102300_102399/10237602/01.02.01_60/tr_10237602v010201p.pdf" TargetMode="External"/><Relationship Id="rId47" Type="http://schemas.openxmlformats.org/officeDocument/2006/relationships/hyperlink" Target="https://www.integrasys-space.com/interference-detection" TargetMode="External"/><Relationship Id="rId44" Type="http://schemas.openxmlformats.org/officeDocument/2006/relationships/hyperlink" Target="https://www.itu.int/dms_pubrec/itu-r/rec/s/R-REC-S.2062-0-201409-I!!PDF-E.pdf" TargetMode="External"/><Relationship Id="rId35" Type="http://schemas.openxmlformats.org/officeDocument/2006/relationships/hyperlink" Target="https://www.kratosspace.com/-/media/communications/pdf/fact-sheet---complete-vsat-interference-mitigation.pdf" TargetMode="External"/><Relationship Id="rId37" Type="http://schemas.openxmlformats.org/officeDocument/2006/relationships/hyperlink" Target="https://www.kratosspace.com/sdatracker/kratos-knownspace-detects-sustained-iran-origin-rf-interference-targeting-geo-communications" TargetMode="External"/><Relationship Id="rId43" Type="http://schemas.openxmlformats.org/officeDocument/2006/relationships/hyperlink" Target="https://www.mdpi.com/1424-8220/20/2/355" TargetMode="External"/><Relationship Id="rId59" Type="http://schemas.openxmlformats.org/officeDocument/2006/relationships/hyperlink" Target="https://www.mdpi.com/2226-4310/10/2/101" TargetMode="External"/><Relationship Id="rId34" Type="http://schemas.openxmlformats.org/officeDocument/2006/relationships/hyperlink" Target="https://www.microwavejournal.com/articles/18088-tackling-satellite-interference" TargetMode="External"/><Relationship Id="rId118" Type="http://schemas.openxmlformats.org/officeDocument/2006/relationships/hyperlink" Target="https://www.preprints.org/manuscript/202503.2079" TargetMode="External"/><Relationship Id="rId88" Type="http://schemas.openxmlformats.org/officeDocument/2006/relationships/hyperlink" Target="https://www.researchgate.net/publication/349494998" TargetMode="External"/><Relationship Id="rId46" Type="http://schemas.openxmlformats.org/officeDocument/2006/relationships/hyperlink" Target="https://www.rohde-schwarz.com/us/products/aerospace-defense-security/secure-communications-options/rs-gsacsm-communications-system-monitoring_63493-636288.html" TargetMode="External"/><Relationship Id="rId33" Type="http://schemas.openxmlformats.org/officeDocument/2006/relationships/hyperlink" Target="https://www.satellitetoday.com/connectivity/2005/08/01/satellite-operators-target-interference-problem/" TargetMode="External"/><Relationship Id="rId45" Type="http://schemas.openxmlformats.org/officeDocument/2006/relationships/hyperlink" Target="https://www.satellitetoday.com/technology/2014/03/26/preventing-adjacent-satellite-interference/" TargetMode="External"/><Relationship Id="rId58" Type="http://schemas.openxmlformats.org/officeDocument/2006/relationships/hyperlink" Target="https://www.semanticscholar.org/paper/08c7cf481ab890ff1f6f8c45353fa4c4bc9406bc" TargetMode="External"/><Relationship Id="rId52" Type="http://schemas.openxmlformats.org/officeDocument/2006/relationships/hyperlink" Target="https://www.semanticscholar.org/paper/2e58ac0017ce6245ed8328d3e892e0fe7c7360a4" TargetMode="External"/><Relationship Id="rId134" Type="http://schemas.openxmlformats.org/officeDocument/2006/relationships/hyperlink" Target="https://zenodo.org/records/13371136" TargetMode="External"/><Relationship Id="rId127" Type="http://schemas.openxmlformats.org/officeDocument/2006/relationships/hyperlink" Target="https://zenodo.org/records/21332689" TargetMode="External"/><Relationship Id="rId126" Type="http://schemas.openxmlformats.org/officeDocument/2006/relationships/hyperlink" Target="https://zenodo.org/records/21333335" TargetMode="External"/><Relationship Id="rId125" Type="http://schemas.openxmlformats.org/officeDocument/2006/relationships/hyperlink" Target="https://zenodo.org/records/213366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2026-10-24T16:15:45Z</dcterms:created>
  <dcterms:modified xsi:type="dcterms:W3CDTF">2026-10-24T16:15:45Z</dcterms:modified>
</cp:coreProperties>
</file>

<file path=docProps/custom.xml><?xml version="1.0" encoding="utf-8"?>
<Properties xmlns="http://schemas.openxmlformats.org/officeDocument/2006/custom-properties" xmlns:vt="http://schemas.openxmlformats.org/officeDocument/2006/docPropsVTypes"/>
</file>