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3.png" ContentType="image/png"/>
  <Override PartName="/word/media/rId70.png" ContentType="image/png"/>
  <Override PartName="/word/media/rId77.png" ContentType="image/png"/>
  <Override PartName="/word/media/rId84.png" ContentType="image/png"/>
  <Override PartName="/word/media/rId91.png" ContentType="image/png"/>
  <Override PartName="/word/media/rId53.png" ContentType="image/png"/>
  <Override PartName="/word/media/rId60.png" ContentType="image/png"/>
  <Override PartName="/word/media/rId67.png" ContentType="image/png"/>
  <Override PartName="/word/media/rId74.png" ContentType="image/png"/>
  <Override PartName="/word/media/rId81.png" ContentType="image/png"/>
  <Override PartName="/word/media/rId88.png" ContentType="image/png"/>
  <Override PartName="/word/media/rId13.png" ContentType="image/png"/>
  <Override PartName="/word/media/rId21.pdf" ContentType="application/pdf"/>
  <Override PartName="/word/media/rId30.pdf" ContentType="application/pdf"/>
  <Override PartName="/word/media/rId25.pdf" ContentType="application/pdf"/>
  <Override PartName="/word/media/rId34.pdf" ContentType="application/pdf"/>
  <Override PartName="/word/media/rId39.pdf" ContentType="application/pdf"/>
  <Override PartName="/word/media/rId43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Hotel Booking &amp; Management System</w:t>
      </w:r>
    </w:p>
    <w:p>
      <w:pPr>
        <w:pStyle w:val="BodyText"/>
      </w:pPr>
      <w:r>
        <w:rPr>
          <w:i/>
          <w:iCs/>
        </w:rPr>
        <w:t xml:space="preserve">A Database-Driven Approach with a Dynamic Pricing Agent</w:t>
      </w:r>
    </w:p>
    <w:p>
      <w:pPr>
        <w:pStyle w:val="BodyText"/>
      </w:pPr>
      <w:r>
        <w:t xml:space="preserve">EBU5503 Database Systems — Group Coursework Report (2025/26)</w:t>
      </w:r>
    </w:p>
    <w:p>
      <w:pPr>
        <w:pStyle w:val="BodyText"/>
      </w:pPr>
      <w:r>
        <w:t xml:space="preserve">Scenario 2 |Group 13 | May 2026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Xinke Lyu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Hao Wang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Yiju Huang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Haoxiang Fan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Zelin 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Xinyu Li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Xinzhu Liu</w:t>
            </w:r>
          </w:p>
        </w:tc>
      </w:tr>
    </w:tbl>
    <w:bookmarkStart w:id="12" w:name="detailed-requirements-and-assumptions"/>
    <w:p>
      <w:pPr>
        <w:pStyle w:val="Heading1"/>
      </w:pPr>
      <w:r>
        <w:t xml:space="preserve">Detailed Requirements and Assumptions</w:t>
      </w:r>
    </w:p>
    <w:bookmarkStart w:id="9" w:name="basic-requirements-scenario-2"/>
    <w:p>
      <w:pPr>
        <w:pStyle w:val="Heading2"/>
      </w:pPr>
      <w:r>
        <w:t xml:space="preserve">Basic Requirements (Scenario 2)</w:t>
      </w:r>
    </w:p>
    <w:p>
      <w:pPr>
        <w:pStyle w:val="FirstParagraph"/>
      </w:pPr>
      <w:r>
        <w:t xml:space="preserve">The system records information about</w:t>
      </w:r>
      <w:r>
        <w:t xml:space="preserve"> </w:t>
      </w:r>
      <w:r>
        <w:rPr>
          <w:b/>
          <w:bCs/>
        </w:rPr>
        <w:t xml:space="preserve">guests</w:t>
      </w:r>
      <w:r>
        <w:t xml:space="preserve">,</w:t>
      </w:r>
      <w:r>
        <w:t xml:space="preserve"> </w:t>
      </w:r>
      <w:r>
        <w:rPr>
          <w:b/>
          <w:bCs/>
        </w:rPr>
        <w:t xml:space="preserve">rooms</w:t>
      </w:r>
      <w:r>
        <w:t xml:space="preserve">,</w:t>
      </w:r>
      <w:r>
        <w:t xml:space="preserve"> </w:t>
      </w:r>
      <w:r>
        <w:rPr>
          <w:b/>
          <w:bCs/>
        </w:rPr>
        <w:t xml:space="preserve">bookings/reservations</w:t>
      </w:r>
      <w:r>
        <w:t xml:space="preserve">, and</w:t>
      </w:r>
      <w:r>
        <w:t xml:space="preserve"> </w:t>
      </w:r>
      <w:r>
        <w:rPr>
          <w:b/>
          <w:bCs/>
        </w:rPr>
        <w:t xml:space="preserve">payments</w:t>
      </w:r>
      <w:r>
        <w:t xml:space="preserve">, as specified by the brief.</w:t>
      </w:r>
      <w:r>
        <w:t xml:space="preserve"> </w:t>
      </w:r>
      <w:r>
        <w:t xml:space="preserve">Each booking belongs to one guest, can contain one or more rooms, and is</w:t>
      </w:r>
      <w:r>
        <w:t xml:space="preserve"> </w:t>
      </w:r>
      <w:r>
        <w:t xml:space="preserve">settled by one or more payment transactions.</w:t>
      </w:r>
    </w:p>
    <w:bookmarkEnd w:id="9"/>
    <w:bookmarkStart w:id="10" w:name="additional-requirements-innovation"/>
    <w:p>
      <w:pPr>
        <w:pStyle w:val="Heading2"/>
      </w:pPr>
      <w:r>
        <w:t xml:space="preserve">Additional Requirements (Innovation)</w:t>
      </w:r>
    </w:p>
    <w:p>
      <w:pPr>
        <w:pStyle w:val="FirstParagraph"/>
      </w:pPr>
      <w:r>
        <w:t xml:space="preserve">Beyond the basics we introduce five realistic extensions, each grounded in</w:t>
      </w:r>
      <w:r>
        <w:t xml:space="preserve"> </w:t>
      </w:r>
      <w:r>
        <w:t xml:space="preserve">real hotel-industry operations: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Justification &amp; Real-world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Loyalty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Returning guests are rewarded with tiered benefits (Bronze / Silver / Gold / Platinum) – a retention engine standard across Marriott Bonvoy and Hilton Honors.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Dynamic Pricing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 and season-based rate adjustment (Christmas, Spring Festival, Summer, weekdays) enables a</w:t>
            </w:r>
            <w:r>
              <w:t xml:space="preserve"> </w:t>
            </w:r>
            <w:r>
              <w:rPr>
                <w:i/>
                <w:iCs/>
              </w:rPr>
              <w:t xml:space="preserve">revenue-management</w:t>
            </w:r>
            <w:r>
              <w:t xml:space="preserve"> </w:t>
            </w:r>
            <w:r>
              <w:t xml:space="preserve">layer on top of static base prices.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 Type abstraction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Separates physical room from pricing category, eliminating update anomalies (2NF).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 &amp;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Captures hotel organisation; required for any non-trivial PMS.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Tracks cleaning, maintenance and inspection workload per (Staff, Room, Task_Type), enabling KPI analytics.</w:t>
            </w:r>
          </w:p>
        </w:tc>
      </w:tr>
    </w:tbl>
    <w:bookmarkEnd w:id="10"/>
    <w:bookmarkStart w:id="11" w:name="key-assumptions"/>
    <w:p>
      <w:pPr>
        <w:pStyle w:val="Heading2"/>
      </w:pPr>
      <w:r>
        <w:t xml:space="preserve">Key Assumptions</w:t>
      </w:r>
    </w:p>
    <w:p>
      <w:pPr>
        <w:numPr>
          <w:ilvl w:val="0"/>
          <w:numId w:val="1001"/>
        </w:numPr>
      </w:pPr>
      <w:r>
        <w:t xml:space="preserve">A booking can contain multiple rooms across overlapping dates.</w:t>
      </w:r>
    </w:p>
    <w:p>
      <w:pPr>
        <w:numPr>
          <w:ilvl w:val="0"/>
          <w:numId w:val="1001"/>
        </w:numPr>
      </w:pPr>
      <w:r>
        <w:t xml:space="preserve">Payments may be partial deposits, full settlements, or refunds linked to cancellations.</w:t>
      </w:r>
    </w:p>
    <w:p>
      <w:pPr>
        <w:numPr>
          <w:ilvl w:val="0"/>
          <w:numId w:val="1001"/>
        </w:numPr>
      </w:pPr>
      <w:r>
        <w:t xml:space="preserve">Loyalty membership is optional; a guest is enrolled at most once (1:1).</w:t>
      </w:r>
    </w:p>
    <w:p>
      <w:pPr>
        <w:numPr>
          <w:ilvl w:val="0"/>
          <w:numId w:val="1001"/>
        </w:numPr>
      </w:pPr>
      <w:r>
        <w:t xml:space="preserve">Pricing rules are date-windowed and apply globally to all room types; priority breaks overlapping windows.</w:t>
      </w:r>
    </w:p>
    <w:p>
      <w:pPr>
        <w:numPr>
          <w:ilvl w:val="0"/>
          <w:numId w:val="1001"/>
        </w:numPr>
      </w:pPr>
      <w:r>
        <w:t xml:space="preserve">Concurrent same-room overlap is prevented by application-layer validation; the database stores a</w:t>
      </w:r>
      <w:r>
        <w:t xml:space="preserve"> </w:t>
      </w:r>
      <w:r>
        <w:rPr>
          <w:smallCaps/>
        </w:rPr>
        <w:t xml:space="preserve">Check</w:t>
      </w:r>
      <w:r>
        <w:t xml:space="preserve"> </w:t>
      </w:r>
      <w:r>
        <w:t xml:space="preserve">on date ordering but cannot natively enforce range non-overlap.</w:t>
      </w:r>
    </w:p>
    <w:bookmarkEnd w:id="11"/>
    <w:bookmarkEnd w:id="12"/>
    <w:bookmarkStart w:id="17" w:name="conceptual-schema-eer-design"/>
    <w:p>
      <w:pPr>
        <w:pStyle w:val="Heading1"/>
      </w:pPr>
      <w:r>
        <w:t xml:space="preserve">Conceptual Schema (EER Design)</w:t>
      </w:r>
    </w:p>
    <w:p>
      <w:pPr>
        <w:pStyle w:val="FirstParagraph"/>
      </w:pPr>
      <w:r>
        <w:t xml:space="preserve">The schema comprises 11 entities organised into four functional domains:</w:t>
      </w:r>
      <w:r>
        <w:t xml:space="preserve"> </w:t>
      </w:r>
      <w:r>
        <w:rPr>
          <w:i/>
          <w:iCs/>
        </w:rPr>
        <w:t xml:space="preserve">customer</w:t>
      </w:r>
      <w:r>
        <w:t xml:space="preserve">,</w:t>
      </w:r>
      <w:r>
        <w:t xml:space="preserve"> </w:t>
      </w:r>
      <w:r>
        <w:rPr>
          <w:i/>
          <w:iCs/>
        </w:rPr>
        <w:t xml:space="preserve">inventory</w:t>
      </w:r>
      <w:r>
        <w:t xml:space="preserve">,</w:t>
      </w:r>
      <w:r>
        <w:t xml:space="preserve"> </w:t>
      </w:r>
      <w:r>
        <w:rPr>
          <w:i/>
          <w:iCs/>
        </w:rPr>
        <w:t xml:space="preserve">transactional</w:t>
      </w:r>
      <w:r>
        <w:t xml:space="preserve">, and</w:t>
      </w:r>
      <w:r>
        <w:t xml:space="preserve"> </w:t>
      </w:r>
      <w:r>
        <w:rPr>
          <w:i/>
          <w:iCs/>
        </w:rPr>
        <w:t xml:space="preserve">operational</w:t>
      </w:r>
      <w:r>
        <w:t xml:space="preserve">. The diagram below shows the entity layout, while the</w:t>
      </w:r>
      <w:r>
        <w:t xml:space="preserve"> </w:t>
      </w:r>
      <w:r>
        <w:t xml:space="preserve">textual model that follows names every relationship explicitly.</w:t>
      </w:r>
    </w:p>
    <w:bookmarkStart w:id="16" w:name="fig:eer"/>
    <w:p>
      <w:pPr>
        <w:pStyle w:val="CaptionedFigure"/>
      </w:pPr>
      <w:r>
        <w:drawing>
          <wp:inline>
            <wp:extent cx="5067300" cy="561162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1_eer_overview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611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EER diagram of the Hotel Booking &amp; Management System produced via MySQL Workbench Reverse Engineer. Eleven entities span the customer, inventory, transactional and operational domains;</w:t>
      </w:r>
      <w:r>
        <w:t xml:space="preserve"> </w:t>
      </w:r>
      <w:r>
        <w:rPr>
          <w:smallCaps/>
        </w:rPr>
        <w:t xml:space="preserve">Booking_Room_Detail</w:t>
      </w:r>
      <w:r>
        <w:t xml:space="preserve"> </w:t>
      </w:r>
      <w:r>
        <w:t xml:space="preserve">is the associative entity resolving the M:N relationship between</w:t>
      </w:r>
      <w:r>
        <w:t xml:space="preserve"> </w:t>
      </w:r>
      <w:r>
        <w:rPr>
          <w:smallCaps/>
        </w:rPr>
        <w:t xml:space="preserve">Booking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Room</w:t>
      </w:r>
      <w:r>
        <w:t xml:space="preserve">.</w:t>
      </w:r>
    </w:p>
    <w:bookmarkEnd w:id="16"/>
    <w:p>
      <w:pPr>
        <w:pStyle w:val="BodyText"/>
      </w:pPr>
      <w:r>
        <w:rPr>
          <w:b/>
          <w:bCs/>
        </w:rPr>
        <w:t xml:space="preserve">Key relationships.</w:t>
      </w:r>
      <w:r>
        <w:t xml:space="preserve"> </w:t>
      </w:r>
      <w:r>
        <w:t xml:space="preserve">(i)</w:t>
      </w:r>
      <w:r>
        <w:t xml:space="preserve"> </w:t>
      </w:r>
      <w:r>
        <w:rPr>
          <w:smallCaps/>
        </w:rPr>
        <w:t xml:space="preserve">Booking</w:t>
      </w:r>
      <w:r>
        <w:t xml:space="preserve"> – </w:t>
      </w:r>
      <w:r>
        <w:rPr>
          <w:smallCaps/>
        </w:rPr>
        <w:t xml:space="preserve">Room</w:t>
      </w:r>
      <w:r>
        <w:t xml:space="preserve"> </w:t>
      </w:r>
      <w:r>
        <w:t xml:space="preserve">is an M:N relationship, decomposed by the</w:t>
      </w:r>
      <w:r>
        <w:t xml:space="preserve"> </w:t>
      </w:r>
      <w:r>
        <w:rPr>
          <w:i/>
          <w:iCs/>
        </w:rPr>
        <w:t xml:space="preserve">associative entity</w:t>
      </w:r>
      <w:r>
        <w:t xml:space="preserve"> </w:t>
      </w:r>
      <w:r>
        <w:rPr>
          <w:smallCaps/>
        </w:rPr>
        <w:t xml:space="preserve">Booking_Room_Detail</w:t>
      </w:r>
      <w:r>
        <w:t xml:space="preserve"> </w:t>
      </w:r>
      <w:r>
        <w:t xml:space="preserve">which carries per-room</w:t>
      </w:r>
      <w:r>
        <w:t xml:space="preserve"> </w:t>
      </w:r>
      <w:r>
        <w:t xml:space="preserve">check-in/out dates and the agreed nightly rate;</w:t>
      </w:r>
      <w:r>
        <w:t xml:space="preserve"> </w:t>
      </w:r>
      <w:r>
        <w:t xml:space="preserve">(ii)</w:t>
      </w:r>
      <w:r>
        <w:t xml:space="preserve"> </w:t>
      </w:r>
      <w:r>
        <w:rPr>
          <w:smallCaps/>
        </w:rPr>
        <w:t xml:space="preserve">Staff</w:t>
      </w:r>
      <w:r>
        <w:t xml:space="preserve">,</w:t>
      </w:r>
      <w:r>
        <w:t xml:space="preserve"> </w:t>
      </w:r>
      <w:r>
        <w:rPr>
          <w:smallCaps/>
        </w:rPr>
        <w:t xml:space="preserve">Room</w:t>
      </w:r>
      <w:r>
        <w:t xml:space="preserve">, and</w:t>
      </w:r>
      <w:r>
        <w:t xml:space="preserve"> </w:t>
      </w:r>
      <w:r>
        <w:rPr>
          <w:smallCaps/>
        </w:rPr>
        <w:t xml:space="preserve">Task_Type</w:t>
      </w:r>
      <w:r>
        <w:t xml:space="preserve"> </w:t>
      </w:r>
      <w:r>
        <w:t xml:space="preserve">form a</w:t>
      </w:r>
      <w:r>
        <w:t xml:space="preserve"> </w:t>
      </w:r>
      <w:r>
        <w:rPr>
          <w:i/>
          <w:iCs/>
        </w:rPr>
        <w:t xml:space="preserve">ternary</w:t>
      </w:r>
      <w:r>
        <w:t xml:space="preserve"> </w:t>
      </w:r>
      <w:r>
        <w:t xml:space="preserve">relationship realised by</w:t>
      </w:r>
      <w:r>
        <w:t xml:space="preserve"> </w:t>
      </w:r>
      <w:r>
        <w:rPr>
          <w:smallCaps/>
        </w:rPr>
        <w:t xml:space="preserve">Task_Log</w:t>
      </w:r>
      <w:r>
        <w:t xml:space="preserve">;</w:t>
      </w:r>
      <w:r>
        <w:t xml:space="preserve"> </w:t>
      </w:r>
      <w:r>
        <w:t xml:space="preserve">(iii)</w:t>
      </w:r>
      <w:r>
        <w:t xml:space="preserve"> </w:t>
      </w:r>
      <w:r>
        <w:rPr>
          <w:smallCaps/>
        </w:rPr>
        <w:t xml:space="preserve">Guest</w:t>
      </w:r>
      <w:r>
        <w:t xml:space="preserve"> – </w:t>
      </w:r>
      <w:r>
        <w:rPr>
          <w:smallCaps/>
        </w:rPr>
        <w:t xml:space="preserve">Loyalty_Program</w:t>
      </w:r>
      <w:r>
        <w:t xml:space="preserve"> </w:t>
      </w:r>
      <w:r>
        <w:t xml:space="preserve">is 1:1, optional on the</w:t>
      </w:r>
      <w:r>
        <w:t xml:space="preserve"> </w:t>
      </w:r>
      <w:r>
        <w:t xml:space="preserve">guest side;</w:t>
      </w:r>
      <w:r>
        <w:t xml:space="preserve"> </w:t>
      </w:r>
      <w:r>
        <w:t xml:space="preserve">(iv)</w:t>
      </w:r>
      <w:r>
        <w:t xml:space="preserve"> </w:t>
      </w:r>
      <w:r>
        <w:rPr>
          <w:smallCaps/>
        </w:rPr>
        <w:t xml:space="preserve">Dynamic_Pricing_Rule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global rule entity</w:t>
      </w:r>
      <w:r>
        <w:t xml:space="preserve">, consulted</w:t>
      </w:r>
      <w:r>
        <w:t xml:space="preserve"> </w:t>
      </w:r>
      <w:r>
        <w:t xml:space="preserve">by application logic rather than via a foreign key – this allows rules to</w:t>
      </w:r>
      <w:r>
        <w:t xml:space="preserve"> </w:t>
      </w:r>
      <w:r>
        <w:t xml:space="preserve">evolve independently of the inventory.</w:t>
      </w:r>
    </w:p>
    <w:bookmarkEnd w:id="17"/>
    <w:bookmarkStart w:id="20" w:name="relational-schema-and-normalisation"/>
    <w:p>
      <w:pPr>
        <w:pStyle w:val="Heading1"/>
      </w:pPr>
      <w:r>
        <w:t xml:space="preserve">Relational Schema and Normalisation</w:t>
      </w:r>
    </w:p>
    <w:bookmarkStart w:id="18" w:name="relational-schema"/>
    <w:p>
      <w:pPr>
        <w:pStyle w:val="Heading2"/>
      </w:pPr>
      <w:r>
        <w:t xml:space="preserve">Relational Schema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Attributes (PK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u w:val="single"/>
              </w:rPr>
              <w:t xml:space="preserve">underlined</w:t>
            </w:r>
            <w:r>
              <w:rPr>
                <w:b/>
                <w:bCs/>
              </w:rPr>
              <w:t xml:space="preserve">, FK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italic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Guest_ID</w:t>
            </w:r>
            <w:r>
              <w:t xml:space="preserve">, First_Name, Last_Name, Email</w:t>
            </w:r>
            <w:r>
              <w:rPr>
                <w:vertAlign w:val="superscript"/>
              </w:rPr>
              <w:t xml:space="preserve">U</w:t>
            </w:r>
            <w:r>
              <w:t xml:space="preserve">, Phone, Identity_Doc</w:t>
            </w:r>
            <w:r>
              <w:rPr>
                <w:vertAlign w:val="superscript"/>
              </w:rPr>
              <w:t xml:space="preserve">U</w:t>
            </w:r>
            <w:r>
              <w:t xml:space="preserve">, Personal_Prefs, Registration_Date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Loyalty_Program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Loyalty_ID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Guest_ID</w:t>
            </w:r>
            <w:r>
              <w:rPr>
                <w:vertAlign w:val="superscript"/>
              </w:rPr>
              <w:t xml:space="preserve">U</w:t>
            </w:r>
            <w:r>
              <w:t xml:space="preserve">, Tier_Level, Available_Points, Enrollment_Date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Type_ID</w:t>
            </w:r>
            <w:r>
              <w:t xml:space="preserve">, Category_Name</w:t>
            </w:r>
            <w:r>
              <w:rPr>
                <w:vertAlign w:val="superscript"/>
              </w:rPr>
              <w:t xml:space="preserve">U</w:t>
            </w:r>
            <w:r>
              <w:t xml:space="preserve">, Base_Nightly_Rate, Max_Capacity,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Room_ID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Type_ID</w:t>
            </w:r>
            <w:r>
              <w:t xml:space="preserve">, Floor_Level, Current_Status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Booking_ID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Guest_ID</w:t>
            </w:r>
            <w:r>
              <w:t xml:space="preserve">, Creation_Time, Total_Guests, Overall_Status, Special_Requests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Booking_Room_Detail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Detail_ID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Booking_ID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Room_ID</w:t>
            </w:r>
            <w:r>
              <w:t xml:space="preserve">, CheckIn_Date, CheckOut_Date, Final_Agreed_Rate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Payment_ID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Booking_ID</w:t>
            </w:r>
            <w:r>
              <w:t xml:space="preserve">, Amount, Payment_Date, Payment_Method,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Dynamic_Pricing_Rule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Rule_ID</w:t>
            </w:r>
            <w:r>
              <w:t xml:space="preserve">, Event_Name, Effective_Start, Effective_End, Price_Multiplier, Priority, Is_Active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Dept_ID</w:t>
            </w:r>
            <w:r>
              <w:t xml:space="preserve">, Dept_Name</w:t>
            </w:r>
            <w:r>
              <w:rPr>
                <w:vertAlign w:val="superscript"/>
              </w:rPr>
              <w:t xml:space="preserve">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Staff_ID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Dept_ID</w:t>
            </w:r>
            <w:r>
              <w:t xml:space="preserve">, Full_Name, Job_Role, Hire_Date,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Log_ID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Staff_ID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Room_ID</w:t>
            </w:r>
            <w:r>
              <w:t xml:space="preserve">, Task_Type, Assigned_Time, Completion_Time, Duration_Minutes, Quality_Score</w:t>
            </w:r>
          </w:p>
        </w:tc>
      </w:tr>
    </w:tbl>
    <w:p>
      <w:pPr>
        <w:pStyle w:val="BodyText"/>
      </w:pPr>
      <w:r>
        <w:rPr>
          <w:vertAlign w:val="superscript"/>
        </w:rPr>
        <w:t xml:space="preserve">U</w:t>
      </w:r>
      <w:r>
        <w:t xml:space="preserve"> </w:t>
      </w:r>
      <w:r>
        <w:rPr>
          <w:smallCaps/>
        </w:rPr>
        <w:t xml:space="preserve">Unique</w:t>
      </w:r>
      <w:r>
        <w:t xml:space="preserve"> </w:t>
      </w:r>
      <w:r>
        <w:t xml:space="preserve">constraint applied.</w:t>
      </w:r>
    </w:p>
    <w:bookmarkEnd w:id="18"/>
    <w:bookmarkStart w:id="19" w:name="normalisation-up-to-3nf-bcnf-check"/>
    <w:p>
      <w:pPr>
        <w:pStyle w:val="Heading2"/>
      </w:pPr>
      <w:r>
        <w:t xml:space="preserve">Normalisation up to 3NF (BCNF check)</w:t>
      </w:r>
    </w:p>
    <w:p>
      <w:pPr>
        <w:pStyle w:val="FirstParagraph"/>
      </w:pPr>
      <w:r>
        <w:rPr>
          <w:b/>
          <w:bCs/>
        </w:rPr>
        <w:t xml:space="preserve">1NF.</w:t>
      </w:r>
      <w:r>
        <w:t xml:space="preserve"> </w:t>
      </w:r>
      <w:r>
        <w:t xml:space="preserve">All attributes are atomic. The draft’s monolithic</w:t>
      </w:r>
      <w:r>
        <w:t xml:space="preserve"> </w:t>
      </w:r>
      <w:r>
        <w:rPr>
          <w:rStyle w:val="VerbatimChar"/>
        </w:rPr>
        <w:t xml:space="preserve">LOG</w:t>
      </w:r>
      <w:r>
        <w:t xml:space="preserve"> </w:t>
      </w:r>
      <w:r>
        <w:t xml:space="preserve">table</w:t>
      </w:r>
      <w:r>
        <w:t xml:space="preserve"> </w:t>
      </w:r>
      <w:r>
        <w:t xml:space="preserve">conflated booking, room assignment and payment, violating 1NF. It is split</w:t>
      </w:r>
      <w:r>
        <w:t xml:space="preserve"> </w:t>
      </w:r>
      <w:r>
        <w:t xml:space="preserve">into</w:t>
      </w:r>
      <w:r>
        <w:t xml:space="preserve"> </w:t>
      </w:r>
      <w:r>
        <w:rPr>
          <w:smallCaps/>
        </w:rPr>
        <w:t xml:space="preserve">Booking</w:t>
      </w:r>
      <w:r>
        <w:t xml:space="preserve">,</w:t>
      </w:r>
      <w:r>
        <w:t xml:space="preserve"> </w:t>
      </w:r>
      <w:r>
        <w:rPr>
          <w:smallCaps/>
        </w:rPr>
        <w:t xml:space="preserve">Booking_Room_Detail</w:t>
      </w:r>
      <w:r>
        <w:t xml:space="preserve">,</w:t>
      </w:r>
      <w:r>
        <w:t xml:space="preserve"> </w:t>
      </w:r>
      <w:r>
        <w:rPr>
          <w:smallCaps/>
        </w:rPr>
        <w:t xml:space="preserve">Payment</w:t>
      </w:r>
      <w:r>
        <w:t xml:space="preserve">.</w:t>
      </w:r>
      <w:r>
        <w:t xml:space="preserve"> </w:t>
      </w:r>
      <w:r>
        <w:rPr>
          <w:b/>
          <w:bCs/>
        </w:rPr>
        <w:t xml:space="preserve">2NF.</w:t>
      </w:r>
      <w:r>
        <w:t xml:space="preserve"> </w:t>
      </w:r>
      <w:r>
        <w:t xml:space="preserve">No non-key attribute depends on part of a composite key; the</w:t>
      </w:r>
      <w:r>
        <w:t xml:space="preserve"> </w:t>
      </w:r>
      <w:r>
        <w:t xml:space="preserve">draft’s</w:t>
      </w:r>
      <w:r>
        <w:t xml:space="preserve"> </w:t>
      </w:r>
      <w:r>
        <w:rPr>
          <w:rStyle w:val="VerbatimChar"/>
        </w:rPr>
        <w:t xml:space="preserve">ROOM(roomNo, price, roomType)</w:t>
      </w:r>
      <w:r>
        <w:t xml:space="preserve"> </w:t>
      </w:r>
      <w:r>
        <w:t xml:space="preserve">is decomposed by abstracting</w:t>
      </w:r>
      <w:r>
        <w:t xml:space="preserve"> </w:t>
      </w:r>
      <w:r>
        <w:t xml:space="preserve">out</w:t>
      </w:r>
      <w:r>
        <w:t xml:space="preserve"> </w:t>
      </w:r>
      <w:r>
        <w:rPr>
          <w:smallCaps/>
        </w:rPr>
        <w:t xml:space="preserve">Room_Type</w:t>
      </w:r>
      <w:r>
        <w:t xml:space="preserve">.</w:t>
      </w:r>
      <w:r>
        <w:t xml:space="preserve"> </w:t>
      </w:r>
      <w:r>
        <w:rPr>
          <w:b/>
          <w:bCs/>
        </w:rPr>
        <w:t xml:space="preserve">3NF.</w:t>
      </w:r>
      <w:r>
        <w:t xml:space="preserve"> </w:t>
      </w:r>
      <w:r>
        <w:t xml:space="preserve">No transitive dependencies;</w:t>
      </w:r>
      <w:r>
        <w:t xml:space="preserve"> </w:t>
      </w:r>
      <w:r>
        <w:rPr>
          <w:smallCaps/>
        </w:rPr>
        <w:t xml:space="preserve">Payment</w:t>
      </w:r>
      <w:r>
        <w:t xml:space="preserve"> </w:t>
      </w:r>
      <w:r>
        <w:t xml:space="preserve">stores only</w:t>
      </w:r>
      <w:r>
        <w:t xml:space="preserve"> </w:t>
      </w:r>
      <w:r>
        <w:rPr>
          <w:i/>
          <w:iCs/>
        </w:rPr>
        <w:t xml:space="preserve">Booking_ID</w:t>
      </w:r>
      <w:r>
        <w:t xml:space="preserve">, reaching guest details via</w:t>
      </w:r>
      <w:r>
        <w:t xml:space="preserve"> </w:t>
      </w:r>
      <w:r>
        <w:rPr>
          <w:smallCaps/>
        </w:rPr>
        <w:t xml:space="preserve">Booking</w:t>
      </w:r>
      <w:r>
        <w:t xml:space="preserve"> </w:t>
      </w:r>
      <m:oMath>
        <m:r>
          <m:rPr>
            <m:sty m:val="p"/>
          </m:rPr>
          <m:t>→</m:t>
        </m:r>
      </m:oMath>
      <w:r>
        <w:t xml:space="preserve"> </w:t>
      </w:r>
      <w:r>
        <w:rPr>
          <w:smallCaps/>
        </w:rPr>
        <w:t xml:space="preserve">Guest</w:t>
      </w:r>
      <w:r>
        <w:t xml:space="preserve">.</w:t>
      </w:r>
      <w:r>
        <w:t xml:space="preserve"> </w:t>
      </w:r>
      <w:r>
        <w:rPr>
          <w:b/>
          <w:bCs/>
        </w:rPr>
        <w:t xml:space="preserve">BCNF.</w:t>
      </w:r>
      <w:r>
        <w:t xml:space="preserve"> </w:t>
      </w:r>
      <w:r>
        <w:t xml:space="preserve">Every non-trivial FD has a superkey on its left; the schema</w:t>
      </w:r>
      <w:r>
        <w:t xml:space="preserve"> </w:t>
      </w:r>
      <w:r>
        <w:t xml:space="preserve">is therefore in BCNF.</w:t>
      </w:r>
    </w:p>
    <w:bookmarkEnd w:id="19"/>
    <w:bookmarkEnd w:id="20"/>
    <w:bookmarkStart w:id="29" w:name="sample-test-data"/>
    <w:p>
      <w:pPr>
        <w:pStyle w:val="Heading1"/>
      </w:pPr>
      <w:r>
        <w:t xml:space="preserve">Sample Test Data</w:t>
      </w:r>
    </w:p>
    <w:p>
      <w:pPr>
        <w:pStyle w:val="FirstParagraph"/>
      </w:pPr>
      <w:r>
        <w:t xml:space="preserve">The instance contains</w:t>
      </w:r>
      <w:r>
        <w:t xml:space="preserve"> </w:t>
      </w:r>
      <w:r>
        <w:rPr>
          <w:b/>
          <w:bCs/>
        </w:rPr>
        <w:t xml:space="preserve">125 rows</w:t>
      </w:r>
      <w:r>
        <w:t xml:space="preserve"> </w:t>
      </w:r>
      <w:r>
        <w:t xml:space="preserve">across the 11 tables (Department 5,</w:t>
      </w:r>
      <w:r>
        <w:t xml:space="preserve"> </w:t>
      </w:r>
      <w:r>
        <w:t xml:space="preserve">Staff 8, Room_Type 5, Room 12, Guest 10, Loyalty_Program 6, Pricing_Rule 4,</w:t>
      </w:r>
      <w:r>
        <w:t xml:space="preserve"> </w:t>
      </w:r>
      <w:r>
        <w:t xml:space="preserve">Booking 15, Booking_Room_Detail 18, Payment 12, Task_Log 15). It is</w:t>
      </w:r>
      <w:r>
        <w:t xml:space="preserve"> </w:t>
      </w:r>
      <w:r>
        <w:t xml:space="preserve">deliberately designed to exercise every edge case our queries handle:</w:t>
      </w:r>
      <w:r>
        <w:t xml:space="preserve"> </w:t>
      </w:r>
      <w:r>
        <w:rPr>
          <w:i/>
          <w:iCs/>
        </w:rPr>
        <w:t xml:space="preserve">repeat guests</w:t>
      </w:r>
      <w:r>
        <w:t xml:space="preserve"> </w:t>
      </w:r>
      <w:r>
        <w:t xml:space="preserve">(Guests 1 and 2 with multiple bookings),</w:t>
      </w:r>
      <w:r>
        <w:t xml:space="preserve"> </w:t>
      </w:r>
      <w:r>
        <w:rPr>
          <w:i/>
          <w:iCs/>
        </w:rPr>
        <w:t xml:space="preserve">multi-room bookings</w:t>
      </w:r>
      <w:r>
        <w:t xml:space="preserve"> </w:t>
      </w:r>
      <w:r>
        <w:t xml:space="preserve">(Bookings 2, 6, 12),</w:t>
      </w:r>
      <w:r>
        <w:t xml:space="preserve"> </w:t>
      </w:r>
      <w:r>
        <w:rPr>
          <w:i/>
          <w:iCs/>
        </w:rPr>
        <w:t xml:space="preserve">cancellations with refunds</w:t>
      </w:r>
      <w:r>
        <w:t xml:space="preserve"> </w:t>
      </w:r>
      <w:r>
        <w:t xml:space="preserve">(Bookings 4, 9),</w:t>
      </w:r>
      <w:r>
        <w:t xml:space="preserve"> </w:t>
      </w:r>
      <w:r>
        <w:rPr>
          <w:i/>
          <w:iCs/>
        </w:rPr>
        <w:t xml:space="preserve">room reuse across non-overlapping dates</w:t>
      </w:r>
      <w:r>
        <w:t xml:space="preserve"> </w:t>
      </w:r>
      <w:r>
        <w:t xml:space="preserve">(Rooms 101, 303),</w:t>
      </w:r>
      <w:r>
        <w:t xml:space="preserve"> </w:t>
      </w:r>
      <w:r>
        <w:rPr>
          <w:i/>
          <w:iCs/>
        </w:rPr>
        <w:t xml:space="preserve">partial payment</w:t>
      </w:r>
      <w:r>
        <w:t xml:space="preserve"> </w:t>
      </w:r>
      <w:r>
        <w:t xml:space="preserve">(Booking 12,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),</w:t>
      </w:r>
      <w:r>
        <w:t xml:space="preserve"> </w:t>
      </w:r>
      <w:r>
        <w:t xml:space="preserve">and an</w:t>
      </w:r>
      <w:r>
        <w:t xml:space="preserve"> </w:t>
      </w:r>
      <w:r>
        <w:rPr>
          <w:i/>
          <w:iCs/>
        </w:rPr>
        <w:t xml:space="preserve">open work item</w:t>
      </w:r>
      <w:r>
        <w:t xml:space="preserve"> </w:t>
      </w:r>
      <w:r>
        <w:t xml:space="preserve">(Task 4 – AC repair,</w:t>
      </w:r>
      <w:r>
        <w:t xml:space="preserve"> </w:t>
      </w:r>
      <w:r>
        <w:rPr>
          <w:smallCaps/>
        </w:rPr>
        <w:t xml:space="preserve">NULL</w:t>
      </w:r>
      <w:r>
        <w:t xml:space="preserve"> </w:t>
      </w:r>
      <w:r>
        <w:t xml:space="preserve">completion).</w:t>
      </w:r>
    </w:p>
    <w:p>
      <w:pPr>
        <w:pStyle w:val="BodyText"/>
      </w:pPr>
      <w:r>
        <w:t xml:space="preserve">Figure </w:t>
      </w:r>
      <w:hyperlink w:anchor="fig:violi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how this small but carefully constructed dataset</w:t>
      </w:r>
      <w:r>
        <w:t xml:space="preserve"> </w:t>
      </w:r>
      <w:r>
        <w:t xml:space="preserve">already produces a meaningful per-night revenue distribution across the five</w:t>
      </w:r>
      <w:r>
        <w:t xml:space="preserve"> </w:t>
      </w:r>
      <w:r>
        <w:t xml:space="preserve">room categories. Premium suites span a wider rate band – a direct</w:t>
      </w:r>
      <w:r>
        <w:t xml:space="preserve"> </w:t>
      </w:r>
      <w:r>
        <w:t xml:space="preserve">consequence of dynamic-pricing rules that target high-demand events.</w:t>
      </w:r>
    </w:p>
    <w:bookmarkStart w:id="24" w:name="fig:violin"/>
    <w:p>
      <w:pPr>
        <w:pStyle w:val="CaptionedFigure"/>
      </w:pPr>
      <w:r>
        <w:drawing>
          <wp:inline>
            <wp:extent cx="4907280" cy="26690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2_violin_revenue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6690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Per-night revenue distribution by room category, computed on non-cancelled</w:t>
      </w:r>
      <w:r>
        <w:t xml:space="preserve"> </w:t>
      </w:r>
      <w:r>
        <w:rPr>
          <w:rStyle w:val="VerbatimChar"/>
        </w:rPr>
        <w:t xml:space="preserve">Booking_Room_Detail</w:t>
      </w:r>
      <w:r>
        <w:t xml:space="preserve"> </w:t>
      </w:r>
      <w:r>
        <w:t xml:space="preserve">rows. Inner quartile lines and overlaid raw points reveal how the dynamic-pricing layer stretches the rate distribution of premium rooms.</w:t>
      </w:r>
    </w:p>
    <w:bookmarkEnd w:id="24"/>
    <w:p>
      <w:pPr>
        <w:pStyle w:val="BodyText"/>
      </w:pPr>
      <w:r>
        <w:t xml:space="preserve">Beyond per-category distributions, we examined how booking-level metrics</w:t>
      </w:r>
      <w:r>
        <w:t xml:space="preserve"> </w:t>
      </w:r>
      <w:r>
        <w:t xml:space="preserve">co-vary. Figure </w:t>
      </w:r>
      <w:hyperlink w:anchor="fig:heatma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Pearson correlation matrix</w:t>
      </w:r>
      <w:r>
        <w:t xml:space="preserve"> </w:t>
      </w:r>
      <w:r>
        <w:t xml:space="preserve">across five derived metrics, restricted to non-cancelled bookings. The</w:t>
      </w:r>
      <w:r>
        <w:t xml:space="preserve"> </w:t>
      </w:r>
      <w:r>
        <w:t xml:space="preserve">strongest non-trivial pair is</w:t>
      </w:r>
      <w:r>
        <w:t xml:space="preserve"> </w:t>
      </w:r>
      <w:r>
        <w:rPr>
          <w:i/>
          <w:iCs/>
        </w:rPr>
        <w:t xml:space="preserve">Nightly Rate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Loyalty Points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≈</m:t>
        </m:r>
        <m:r>
          <m:t>0.41</m:t>
        </m:r>
      </m:oMath>
      <w:r>
        <w:t xml:space="preserve">), consistent with the intuition that loyal guests</w:t>
      </w:r>
      <w:r>
        <w:t xml:space="preserve"> </w:t>
      </w:r>
      <w:r>
        <w:t xml:space="preserve">preferentially trade up to premium rooms.</w:t>
      </w:r>
    </w:p>
    <w:bookmarkStart w:id="28" w:name="fig:heatmap"/>
    <w:p>
      <w:pPr>
        <w:pStyle w:val="CaptionedFigure"/>
      </w:pPr>
      <w:r>
        <w:drawing>
          <wp:inline>
            <wp:extent cx="3200400" cy="255221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4_heatmap_correlation.pdf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552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Pearson correlation matrix of five booking-level metrics. The moderate positive coupling between</w:t>
      </w:r>
      <w:r>
        <w:t xml:space="preserve"> </w:t>
      </w:r>
      <w:r>
        <w:rPr>
          <w:i/>
          <w:iCs/>
        </w:rPr>
        <w:t xml:space="preserve">Nightly Rate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Loyalty Points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≈</m:t>
        </m:r>
        <m:r>
          <m:t>0.41</m:t>
        </m:r>
      </m:oMath>
      <w:r>
        <w:t xml:space="preserve">) supports the addition of the loyalty subsystem.</w:t>
      </w:r>
    </w:p>
    <w:bookmarkEnd w:id="28"/>
    <w:bookmarkEnd w:id="29"/>
    <w:bookmarkStart w:id="38" w:name="sql-queries-and-results"/>
    <w:p>
      <w:pPr>
        <w:pStyle w:val="Heading1"/>
      </w:pPr>
      <w:r>
        <w:t xml:space="preserve">SQL Queries and Results</w:t>
      </w:r>
    </w:p>
    <w:p>
      <w:pPr>
        <w:pStyle w:val="FirstParagraph"/>
      </w:pPr>
      <w:r>
        <w:t xml:space="preserve">The query set consists of</w:t>
      </w:r>
      <w:r>
        <w:t xml:space="preserve"> </w:t>
      </w:r>
      <w:r>
        <w:rPr>
          <w:b/>
          <w:bCs/>
        </w:rPr>
        <w:t xml:space="preserve">12 SQL statements</w:t>
      </w:r>
      <w:r>
        <w:t xml:space="preserve"> </w:t>
      </w:r>
      <w:r>
        <w:t xml:space="preserve">that collectively reference</w:t>
      </w:r>
      <w:r>
        <w:t xml:space="preserve"> </w:t>
      </w:r>
      <w:r>
        <w:rPr>
          <w:i/>
          <w:iCs/>
        </w:rPr>
        <w:t xml:space="preserve">all 11 relations</w:t>
      </w:r>
      <w:r>
        <w:t xml:space="preserve">. They cover multi-table joins, sub-queries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 EXISTS</w:t>
      </w:r>
      <w:r>
        <w:t xml:space="preserve">), aggregation with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, window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ROW_NUMBER</w:t>
      </w:r>
      <w:r>
        <w:t xml:space="preserve">), CTEs, views and a self-join for overlap</w:t>
      </w:r>
      <w:r>
        <w:t xml:space="preserve"> </w:t>
      </w:r>
      <w:r>
        <w:t xml:space="preserve">detection. The complete script is shipped in</w:t>
      </w:r>
      <w:r>
        <w:t xml:space="preserve"> </w:t>
      </w:r>
      <w:r>
        <w:rPr>
          <w:rStyle w:val="VerbatimChar"/>
        </w:rPr>
        <w:t xml:space="preserve">tests/test_queries.sql</w:t>
      </w:r>
      <w:r>
        <w:t xml:space="preserve">.</w:t>
      </w:r>
    </w:p>
    <w:p>
      <w:pPr>
        <w:pStyle w:val="BodyText"/>
      </w:pPr>
      <w:r>
        <w:t xml:space="preserve">Query Q5 illustrates the database’s defensive design. By using</w:t>
      </w:r>
      <w:r>
        <w:t xml:space="preserve"> </w:t>
      </w:r>
      <w:r>
        <w:rPr>
          <w:rStyle w:val="VerbatimChar"/>
        </w:rPr>
        <w:t xml:space="preserve">NOT EXISTS</w:t>
      </w:r>
      <w:r>
        <w:t xml:space="preserve"> </w:t>
      </w:r>
      <w:r>
        <w:t xml:space="preserve">with a date-overlap predicate rather than relying on</w:t>
      </w:r>
      <w:r>
        <w:t xml:space="preserve"> </w:t>
      </w:r>
      <w:r>
        <w:rPr>
          <w:rStyle w:val="VerbatimChar"/>
        </w:rPr>
        <w:t xml:space="preserve">Room.Current_Status</w:t>
      </w:r>
      <w:r>
        <w:t xml:space="preserve">, the system correctly handles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reservations on rooms whose live status is still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SELECT r.Room_ID, rt.Category_Name, r.Floor_Level, rt.Base_Nightly_Rate</w:t>
      </w:r>
      <w:r>
        <w:br/>
      </w:r>
      <w:r>
        <w:rPr>
          <w:rStyle w:val="VerbatimChar"/>
        </w:rPr>
        <w:t xml:space="preserve">FROM Room r JOIN Room_Type rt ON r.Type_ID = rt.Type_ID</w:t>
      </w:r>
      <w:r>
        <w:br/>
      </w:r>
      <w:r>
        <w:rPr>
          <w:rStyle w:val="VerbatimChar"/>
        </w:rPr>
        <w:t xml:space="preserve">WHERE r.Current_Status != 'Maintenance'</w:t>
      </w:r>
      <w:r>
        <w:br/>
      </w:r>
      <w:r>
        <w:rPr>
          <w:rStyle w:val="VerbatimChar"/>
        </w:rPr>
        <w:t xml:space="preserve">  AND NOT EXISTS (</w:t>
      </w:r>
      <w:r>
        <w:br/>
      </w:r>
      <w:r>
        <w:rPr>
          <w:rStyle w:val="VerbatimChar"/>
        </w:rPr>
        <w:t xml:space="preserve">    SELECT 1 FROM Booking_Room_Detail brd</w:t>
      </w:r>
      <w:r>
        <w:br/>
      </w:r>
      <w:r>
        <w:rPr>
          <w:rStyle w:val="VerbatimChar"/>
        </w:rPr>
        <w:t xml:space="preserve">    JOIN Booking b ON brd.Booking_ID = b.Booking_ID</w:t>
      </w:r>
      <w:r>
        <w:br/>
      </w:r>
      <w:r>
        <w:rPr>
          <w:rStyle w:val="VerbatimChar"/>
        </w:rPr>
        <w:t xml:space="preserve">    WHERE brd.Room_ID = r.Room_ID</w:t>
      </w:r>
      <w:r>
        <w:br/>
      </w:r>
      <w:r>
        <w:rPr>
          <w:rStyle w:val="VerbatimChar"/>
        </w:rPr>
        <w:t xml:space="preserve">      AND b.Overall_Status NOT IN ('Cancelled')</w:t>
      </w:r>
      <w:r>
        <w:br/>
      </w:r>
      <w:r>
        <w:rPr>
          <w:rStyle w:val="VerbatimChar"/>
        </w:rPr>
        <w:t xml:space="preserve">      AND brd.CheckIn_Date  &lt; '2026-06-05'</w:t>
      </w:r>
      <w:r>
        <w:br/>
      </w:r>
      <w:r>
        <w:rPr>
          <w:rStyle w:val="VerbatimChar"/>
        </w:rPr>
        <w:t xml:space="preserve">      AND brd.CheckOut_Date &gt; '2026-06-01');</w:t>
      </w:r>
    </w:p>
    <w:p>
      <w:pPr>
        <w:pStyle w:val="FirstParagraph"/>
      </w:pPr>
      <w:r>
        <w:rPr>
          <w:b/>
          <w:bCs/>
        </w:rPr>
        <w:t xml:space="preserve">Q1 – Top spenders</w:t>
      </w:r>
      <w:r>
        <w:t xml:space="preserve"> </w:t>
      </w:r>
      <w:r>
        <w:t xml:space="preserve">(Guest</w:t>
      </w:r>
      <w:r>
        <w:t xml:space="preserve"> </w:t>
      </w:r>
      <m:oMath>
        <m:r>
          <m:rPr>
            <m:sty m:val="p"/>
          </m:rPr>
          <m:t>⋈</m:t>
        </m:r>
      </m:oMath>
      <w:r>
        <w:t xml:space="preserve"> </w:t>
      </w:r>
      <w:r>
        <w:t xml:space="preserve">Booking</w:t>
      </w:r>
      <w:r>
        <w:t xml:space="preserve"> </w:t>
      </w:r>
      <m:oMath>
        <m:r>
          <m:rPr>
            <m:sty m:val="p"/>
          </m:rPr>
          <m:t>⋈</m:t>
        </m:r>
      </m:oMath>
      <w:r>
        <w:t xml:space="preserve"> </w:t>
      </w:r>
      <w:r>
        <w:t xml:space="preserve">Payment).</w:t>
      </w:r>
      <w:r>
        <w:t xml:space="preserve"> </w:t>
      </w:r>
      <w:r>
        <w:t xml:space="preserve">The result confirms that Platinum guest Sophie Williams returns multiple</w:t>
      </w:r>
      <w:r>
        <w:t xml:space="preserve"> </w:t>
      </w:r>
      <w:r>
        <w:t xml:space="preserve">times, but the single highest-spend booking belongs to a family stay over</w:t>
      </w:r>
      <w:r>
        <w:t xml:space="preserve"> </w:t>
      </w:r>
      <w:r>
        <w:t xml:space="preserve">the New Year peak window: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GID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Bookings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Spent (USD)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Kenji Tanaka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2 016.00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Sophie Williams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1 775.00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Alexander Petrov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1 062.50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Priya Sharma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663.00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Hans Mueller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552.50</w:t>
            </w:r>
          </w:p>
        </w:tc>
      </w:tr>
    </w:tbl>
    <w:p>
      <w:pPr>
        <w:pStyle w:val="BodyText"/>
      </w:pPr>
      <w:r>
        <w:t xml:space="preserve">Figure </w:t>
      </w:r>
      <w:hyperlink w:anchor="fig:sankey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traces every booking from its guest’s loyalty tier</w:t>
      </w:r>
      <w:r>
        <w:t xml:space="preserve"> </w:t>
      </w:r>
      <w:r>
        <w:t xml:space="preserve">to its final outcome. Ribbon thickness encodes booking count, exposing the</w:t>
      </w:r>
      <w:r>
        <w:t xml:space="preserve"> </w:t>
      </w:r>
      <w:r>
        <w:t xml:space="preserve">disproportionate share of repeat business coming from the top two tiers,</w:t>
      </w:r>
      <w:r>
        <w:t xml:space="preserve"> </w:t>
      </w:r>
      <w:r>
        <w:t xml:space="preserve">and isolating the (small) Cancelled branch tracked by Q10.</w:t>
      </w:r>
    </w:p>
    <w:bookmarkStart w:id="33" w:name="fig:sankey"/>
    <w:p>
      <w:pPr>
        <w:pStyle w:val="CaptionedFigure"/>
      </w:pPr>
      <w:r>
        <w:drawing>
          <wp:inline>
            <wp:extent cx="5067300" cy="233635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3_sankey_loyalty_flow.pdf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3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Sankey flow: loyalty tier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booking status. Ribbon width is proportional to booking count; the red Cancelled branch corresponds to the refunded payments returned by Q10.</w:t>
      </w:r>
    </w:p>
    <w:bookmarkEnd w:id="33"/>
    <w:p>
      <w:pPr>
        <w:pStyle w:val="BodyText"/>
      </w:pPr>
      <w:r>
        <w:rPr>
          <w:b/>
          <w:bCs/>
        </w:rPr>
        <w:t xml:space="preserve">Q8 – Cleaning quality</w:t>
      </w:r>
      <w:r>
        <w:t xml:space="preserve">: Staff 4 (Aisha Patel, Room Attendant) is the</w:t>
      </w:r>
      <w:r>
        <w:t xml:space="preserve"> </w:t>
      </w:r>
      <w:r>
        <w:t xml:space="preserve">sole attendant clearing the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 </w:t>
      </w:r>
      <m:oMath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threshold, with mean</w:t>
      </w:r>
      <w:r>
        <w:t xml:space="preserve"> </w:t>
      </w:r>
      <w:r>
        <w:t xml:space="preserve">quality</w:t>
      </w:r>
      <w:r>
        <w:t xml:space="preserve"> </w:t>
      </w:r>
      <m:oMath>
        <m:r>
          <m:t>8.30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tasks. Staff 3 (Maria Gonzalez, Supervisor) achieves</w:t>
      </w:r>
      <w:r>
        <w:t xml:space="preserve"> </w:t>
      </w:r>
      <w:r>
        <w:t xml:space="preserve">a higher mean of</w:t>
      </w:r>
      <w:r>
        <w:t xml:space="preserve"> </w:t>
      </w:r>
      <m:oMath>
        <m:r>
          <m:t>9.65</m:t>
        </m:r>
      </m:oMath>
      <w:r>
        <w:t xml:space="preserve"> </w:t>
      </w:r>
      <w:r>
        <w:t xml:space="preserve">but on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cleaning tasks – a case where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correctly guards against statistically thin averages.</w:t>
      </w:r>
      <w:r>
        <w:t xml:space="preserve"> </w:t>
      </w:r>
      <w:r>
        <w:t xml:space="preserve">Figure </w:t>
      </w:r>
      <w:hyperlink w:anchor="fig:rainclou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shows the full distribution.</w:t>
      </w:r>
    </w:p>
    <w:bookmarkStart w:id="37" w:name="fig:raincloud"/>
    <w:p>
      <w:pPr>
        <w:pStyle w:val="CaptionedFigure"/>
      </w:pPr>
      <w:r>
        <w:drawing>
          <wp:inline>
            <wp:extent cx="4373880" cy="232083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5_raincloud_quality.pd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320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Raincloud plot of</w:t>
      </w:r>
      <w:r>
        <w:t xml:space="preserve"> </w:t>
      </w:r>
      <w:r>
        <w:rPr>
          <w:rStyle w:val="VerbatimChar"/>
        </w:rPr>
        <w:t xml:space="preserve">Task_Log.Quality_Score</w:t>
      </w:r>
      <w:r>
        <w:t xml:space="preserve"> </w:t>
      </w:r>
      <w:r>
        <w:t xml:space="preserve">by department. The Housekeeping cloud is denser and skews to 9+, while Maintenance shows a wider, lower distribution – a candidate signal for staff training and KPI targeting.</w:t>
      </w:r>
    </w:p>
    <w:bookmarkEnd w:id="37"/>
    <w:p>
      <w:pPr>
        <w:pStyle w:val="BodyText"/>
      </w:pPr>
      <w:r>
        <w:rPr>
          <w:b/>
          <w:bCs/>
        </w:rPr>
        <w:t xml:space="preserve">Q11 – VIP scoring</w:t>
      </w:r>
      <w:r>
        <w:t xml:space="preserve"> </w:t>
      </w:r>
      <w:r>
        <w:t xml:space="preserve">blends total spend, booking frequency and loyalty</w:t>
      </w:r>
      <w:r>
        <w:t xml:space="preserve"> </w:t>
      </w:r>
      <w:r>
        <w:t xml:space="preserve">tier inside a CTE, producing a defensible 0–100 score:</w:t>
      </w:r>
    </w:p>
    <w:p>
      <w:pPr>
        <w:pStyle w:val="SourceCode"/>
      </w:pPr>
      <w:r>
        <w:rPr>
          <w:rStyle w:val="VerbatimChar"/>
        </w:rPr>
        <w:t xml:space="preserve">WITH customer_metrics AS (</w:t>
      </w:r>
      <w:r>
        <w:br/>
      </w:r>
      <w:r>
        <w:rPr>
          <w:rStyle w:val="VerbatimChar"/>
        </w:rPr>
        <w:t xml:space="preserve">  SELECT g.Guest_ID, COUNT(DISTINCT b.Booking_ID) AS Bookings,</w:t>
      </w:r>
      <w:r>
        <w:br/>
      </w:r>
      <w:r>
        <w:rPr>
          <w:rStyle w:val="VerbatimChar"/>
        </w:rPr>
        <w:t xml:space="preserve">         COALESCE(SUM(p.Amount),0) AS Total_Spent</w:t>
      </w:r>
      <w:r>
        <w:br/>
      </w:r>
      <w:r>
        <w:rPr>
          <w:rStyle w:val="VerbatimChar"/>
        </w:rPr>
        <w:t xml:space="preserve">  FROM Guest g LEFT JOIN Booking b ON g.Guest_ID = b.Guest_ID</w:t>
      </w:r>
      <w:r>
        <w:br/>
      </w:r>
      <w:r>
        <w:rPr>
          <w:rStyle w:val="VerbatimChar"/>
        </w:rPr>
        <w:t xml:space="preserve">       LEFT JOIN Payment p ON b.Booking_ID = p.Booking_ID AND p.Status='Completed'</w:t>
      </w:r>
      <w:r>
        <w:br/>
      </w:r>
      <w:r>
        <w:rPr>
          <w:rStyle w:val="VerbatimChar"/>
        </w:rPr>
        <w:t xml:space="preserve">  GROUP BY g.Guest_ID)</w:t>
      </w:r>
      <w:r>
        <w:br/>
      </w:r>
      <w:r>
        <w:rPr>
          <w:rStyle w:val="VerbatimChar"/>
        </w:rPr>
        <w:t xml:space="preserve">SELECT cm.*, lp.Tier_Level,</w:t>
      </w:r>
      <w:r>
        <w:br/>
      </w:r>
      <w:r>
        <w:rPr>
          <w:rStyle w:val="VerbatimChar"/>
        </w:rPr>
        <w:t xml:space="preserve">  ROUND(LEAST(Total_Spent/10000,1)*40 + LEAST(Bookings/10,1)*30 +</w:t>
      </w:r>
      <w:r>
        <w:br/>
      </w:r>
      <w:r>
        <w:rPr>
          <w:rStyle w:val="VerbatimChar"/>
        </w:rPr>
        <w:t xml:space="preserve">        CASE lp.Tier_Level WHEN 'Platinum' THEN 30 WHEN 'Gold' THEN 22</w:t>
      </w:r>
      <w:r>
        <w:br/>
      </w:r>
      <w:r>
        <w:rPr>
          <w:rStyle w:val="VerbatimChar"/>
        </w:rPr>
        <w:t xml:space="preserve">             WHEN 'Silver' THEN 14 WHEN 'Bronze' THEN 6 ELSE 0 END,1) AS VIP_Score</w:t>
      </w:r>
      <w:r>
        <w:br/>
      </w:r>
      <w:r>
        <w:rPr>
          <w:rStyle w:val="VerbatimChar"/>
        </w:rPr>
        <w:t xml:space="preserve">FROM customer_metrics cm LEFT JOIN Loyalty_Program lp USING (Guest_ID);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GID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Bookings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Spent (USD)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VIP Score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Sophie Williams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Platinum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1 775.00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Kenji Tanaka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2 016.00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25.1</w:t>
            </w:r>
          </w:p>
        </w:tc>
      </w:tr>
    </w:tbl>
    <w:p>
      <w:pPr>
        <w:pStyle w:val="BodyText"/>
      </w:pPr>
      <w:r>
        <w:t xml:space="preserve">The remaining queries deliver: Q2 occupancy (Deluxe Suite first); Q3 pricing</w:t>
      </w:r>
      <w:r>
        <w:t xml:space="preserve"> </w:t>
      </w:r>
      <w:r>
        <w:t xml:space="preserve">impact (5 rows matched the Christmas window with</w:t>
      </w:r>
      <w:r>
        <w:t xml:space="preserve"> </w:t>
      </w:r>
      <m:oMath>
        <m:r>
          <m:rPr>
            <m:sty m:val="p"/>
          </m:rPr>
          <m:t>+</m:t>
        </m:r>
        <m:r>
          <m:t>80</m:t>
        </m:r>
        <m:r>
          <m:rPr>
            <m:sty m:val="p"/>
          </m:rPr>
          <m:t>%</m:t>
        </m:r>
      </m:oMath>
      <w:r>
        <w:t xml:space="preserve">); Q9 dashboard view</w:t>
      </w:r>
      <w:r>
        <w:t xml:space="preserve"> </w:t>
      </w:r>
      <w:r>
        <w:t xml:space="preserve">(18 rows); Q12 overlap detection (0 conflicts – application-layer guard</w:t>
      </w:r>
      <w:r>
        <w:t xml:space="preserve"> </w:t>
      </w:r>
      <w:r>
        <w:t xml:space="preserve">intact).</w:t>
      </w:r>
    </w:p>
    <w:bookmarkEnd w:id="38"/>
    <w:bookmarkStart w:id="47" w:name="innovation-database-driven-pricing-agent"/>
    <w:p>
      <w:pPr>
        <w:pStyle w:val="Heading1"/>
      </w:pPr>
      <w:r>
        <w:t xml:space="preserve">Innovation: Database-Driven Pricing Agent</w:t>
      </w:r>
    </w:p>
    <w:p>
      <w:pPr>
        <w:pStyle w:val="FirstParagraph"/>
      </w:pPr>
      <w:r>
        <w:t xml:space="preserve">We pair the schema with a Python</w:t>
      </w:r>
      <w:r>
        <w:t xml:space="preserve"> </w:t>
      </w:r>
      <w:r>
        <w:rPr>
          <w:i/>
          <w:iCs/>
        </w:rPr>
        <w:t xml:space="preserve">Pricing Agent</w:t>
      </w:r>
      <w:r>
        <w:t xml:space="preserve"> </w:t>
      </w:r>
      <w:r>
        <w:t xml:space="preserve">that consults the</w:t>
      </w:r>
      <w:r>
        <w:t xml:space="preserve"> </w:t>
      </w:r>
      <w:r>
        <w:t xml:space="preserve">database in real time. For a target date and room type, it reads the</w:t>
      </w:r>
      <w:r>
        <w:t xml:space="preserve"> </w:t>
      </w:r>
      <w:r>
        <w:t xml:space="preserve">highest-priority active rule from</w:t>
      </w:r>
      <w:r>
        <w:t xml:space="preserve"> </w:t>
      </w:r>
      <w:r>
        <w:rPr>
          <w:smallCaps/>
        </w:rPr>
        <w:t xml:space="preserve">Dynamic_Pricing_Rule</w:t>
      </w:r>
      <w:r>
        <w:t xml:space="preserve">, computes</w:t>
      </w:r>
      <w:r>
        <w:t xml:space="preserve"> </w:t>
      </w:r>
      <w:r>
        <w:t xml:space="preserve">the occupancy rate from</w:t>
      </w:r>
      <w:r>
        <w:t xml:space="preserve"> </w:t>
      </w:r>
      <w:r>
        <w:rPr>
          <w:smallCaps/>
        </w:rPr>
        <w:t xml:space="preserve">Booking_Room_Detail</w:t>
      </w:r>
      <w:r>
        <w:t xml:space="preserve">, and returns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final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t> </m:t>
          </m:r>
          <m:r>
            <m:rPr>
              <m:sty m:val="p"/>
            </m:rPr>
            <m:t>×</m:t>
          </m:r>
          <m:r>
            <m:t> 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rule</m:t>
              </m:r>
            </m:sub>
          </m:sSub>
          <m:r>
            <m:t> </m:t>
          </m:r>
          <m:r>
            <m:rPr>
              <m:sty m:val="p"/>
            </m:rPr>
            <m:t>×</m:t>
          </m:r>
          <m:r>
            <m:t> 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occ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occ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0.85</m:t>
          </m:r>
          <m:r>
            <m:rPr>
              <m:sty m:val="p"/>
            </m:rPr>
            <m:t>,</m:t>
          </m:r>
          <m:r>
            <m:t> </m:t>
          </m:r>
          <m:r>
            <m:t>1.0</m:t>
          </m:r>
          <m:r>
            <m:rPr>
              <m:sty m:val="p"/>
            </m:rPr>
            <m:t>,</m:t>
          </m:r>
          <m:r>
            <m:t> </m:t>
          </m:r>
          <m:r>
            <m:t>1.10</m:t>
          </m:r>
          <m:r>
            <m:rPr>
              <m:sty m:val="p"/>
            </m:rPr>
            <m:t>,</m:t>
          </m:r>
          <m:r>
            <m:t> </m:t>
          </m:r>
          <m:r>
            <m:t>1.30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 </w:t>
      </w:r>
      <w:hyperlink w:anchor="fig:lollipop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summarises the four rules currently loaded. The</w:t>
      </w:r>
      <w:r>
        <w:t xml:space="preserve"> </w:t>
      </w:r>
      <w:r>
        <w:t xml:space="preserve">Christmas surge (</w:t>
      </w:r>
      <m:oMath>
        <m:r>
          <m:rPr>
            <m:sty m:val="p"/>
          </m:rPr>
          <m:t>+</m:t>
        </m:r>
        <m:r>
          <m:t>80</m:t>
        </m:r>
        <m:r>
          <m:rPr>
            <m:sty m:val="p"/>
          </m:rPr>
          <m:t>%</m:t>
        </m:r>
      </m:oMath>
      <w:r>
        <w:t xml:space="preserve">) is the strongest single lever; the year-round</w:t>
      </w:r>
      <w:r>
        <w:t xml:space="preserve"> </w:t>
      </w:r>
      <w:r>
        <w:t xml:space="preserve">weekday discount (</w:t>
      </w:r>
      <m:oMath>
        <m:r>
          <m:rPr>
            <m:sty m:val="p"/>
          </m:rPr>
          <m:t>−</m:t>
        </m:r>
        <m:r>
          <m:t>15</m:t>
        </m:r>
        <m:r>
          <m:rPr>
            <m:sty m:val="p"/>
          </m:rPr>
          <m:t>%</m:t>
        </m:r>
      </m:oMath>
      <w:r>
        <w:t xml:space="preserve">) cushions occupancy in low-demand windows.</w:t>
      </w:r>
    </w:p>
    <w:bookmarkStart w:id="42" w:name="fig:lollipop"/>
    <w:p>
      <w:pPr>
        <w:pStyle w:val="CaptionedFigure"/>
      </w:pPr>
      <w:r>
        <w:drawing>
          <wp:inline>
            <wp:extent cx="4533900" cy="194432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6_lollipop_pricing.pdf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944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dynamic-pricing rules. Christmas/NY drives the strongest surge (</w:t>
      </w:r>
      <m:oMath>
        <m:r>
          <m:rPr>
            <m:sty m:val="p"/>
          </m:rPr>
          <m:t>+</m:t>
        </m:r>
        <m:r>
          <m:t>80</m:t>
        </m:r>
        <m:r>
          <m:rPr>
            <m:sty m:val="p"/>
          </m:rPr>
          <m:t>%</m:t>
        </m:r>
      </m:oMath>
      <w:r>
        <w:t xml:space="preserve">); the weekday discount (</w:t>
      </w:r>
      <m:oMath>
        <m:r>
          <m:rPr>
            <m:sty m:val="p"/>
          </m:rPr>
          <m:t>−</m:t>
        </m:r>
        <m:r>
          <m:t>15</m:t>
        </m:r>
        <m:r>
          <m:rPr>
            <m:sty m:val="p"/>
          </m:rPr>
          <m:t>%</m:t>
        </m:r>
      </m:oMath>
      <w:r>
        <w:t xml:space="preserve">) lifts year-round occupancy.</w:t>
      </w:r>
    </w:p>
    <w:bookmarkEnd w:id="42"/>
    <w:p>
      <w:pPr>
        <w:pStyle w:val="BodyText"/>
      </w:pPr>
      <w:r>
        <w:t xml:space="preserve">Figure </w:t>
      </w:r>
      <w:hyperlink w:anchor="fig:agentflow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traces the agent’s decision flow through the</w:t>
      </w:r>
      <w:r>
        <w:t xml:space="preserve"> </w:t>
      </w:r>
      <w:r>
        <w:t xml:space="preserve">database. Crucially, the agent’s intelligence lives in the data layer:</w:t>
      </w:r>
      <w:r>
        <w:t xml:space="preserve"> </w:t>
      </w:r>
      <w:r>
        <w:t xml:space="preserve">changing a row in</w:t>
      </w:r>
      <w:r>
        <w:t xml:space="preserve"> </w:t>
      </w:r>
      <w:r>
        <w:rPr>
          <w:smallCaps/>
        </w:rPr>
        <w:t xml:space="preserve">Dynamic_Pricing_Rule</w:t>
      </w:r>
      <w:r>
        <w:t xml:space="preserve"> </w:t>
      </w:r>
      <w:r>
        <w:t xml:space="preserve">immediately re-targets</w:t>
      </w:r>
      <w:r>
        <w:t xml:space="preserve"> </w:t>
      </w:r>
      <w:r>
        <w:t xml:space="preserve">pricing without code redeployment – exactly the separation a 3NF schema is</w:t>
      </w:r>
      <w:r>
        <w:t xml:space="preserve"> </w:t>
      </w:r>
      <w:r>
        <w:t xml:space="preserve">built to enable.</w:t>
      </w:r>
    </w:p>
    <w:bookmarkStart w:id="46" w:name="fig:agentflow"/>
    <w:p>
      <w:pPr>
        <w:pStyle w:val="CaptionedFigure"/>
      </w:pPr>
      <w:r>
        <w:drawing>
          <wp:inline>
            <wp:extent cx="5120640" cy="142706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7_agent_flow.pdf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427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Pricing-Agent decision flow. The agent reads rules and occupancy from the database, computes the final price, and returns the recommendation – a closed loop entirely mediated by SQL.</w:t>
      </w:r>
    </w:p>
    <w:bookmarkEnd w:id="46"/>
    <w:bookmarkEnd w:id="47"/>
    <w:bookmarkStart w:id="4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system meets all four basic requirements of Scenario 2 and adds five</w:t>
      </w:r>
      <w:r>
        <w:t xml:space="preserve"> </w:t>
      </w:r>
      <w:r>
        <w:t xml:space="preserve">well-grounded extensions. The schema is normalised to BCNF, exercised by 12</w:t>
      </w:r>
      <w:r>
        <w:t xml:space="preserve"> </w:t>
      </w:r>
      <w:r>
        <w:t xml:space="preserve">queries spanning every relation, and surfaces actionable insight through</w:t>
      </w:r>
      <w:r>
        <w:t xml:space="preserve"> </w:t>
      </w:r>
      <w:r>
        <w:t xml:space="preserve">publication-grade visual analytics. The Pricing Agent demonstrates how a</w:t>
      </w:r>
      <w:r>
        <w:t xml:space="preserve"> </w:t>
      </w:r>
      <w:r>
        <w:t xml:space="preserve">carefully normalised database becomes the substrate for autonomous</w:t>
      </w:r>
      <w:r>
        <w:t xml:space="preserve"> </w:t>
      </w:r>
      <w:r>
        <w:t xml:space="preserve">decision-making, not merely passive storage.</w:t>
      </w:r>
    </w:p>
    <w:p>
      <w:pPr>
        <w:pStyle w:val="BodyText"/>
      </w:pPr>
      <w:r>
        <w:rPr>
          <w:b/>
          <w:bCs/>
        </w:rPr>
        <w:t xml:space="preserve">Appendix: GenAI Usage Disclosure</w:t>
      </w:r>
    </w:p>
    <w:p>
      <w:pPr>
        <w:pStyle w:val="BodyText"/>
      </w:pPr>
      <w:r>
        <w:rPr>
          <w:i/>
          <w:iCs/>
        </w:rPr>
        <w:t xml:space="preserve">Mandatory disclosure per EBU5503 coursework specification.</w:t>
      </w:r>
      <w:r>
        <w:rPr>
          <w:i/>
          <w:iCs/>
        </w:rPr>
        <w:t xml:space="preserve"> </w:t>
      </w:r>
      <w:r>
        <w:rPr>
          <w:i/>
          <w:iCs/>
        </w:rPr>
        <w:t xml:space="preserve">This appendix is not counted toward the 10-page report limit.</w:t>
      </w:r>
    </w:p>
    <w:bookmarkEnd w:id="48"/>
    <w:bookmarkStart w:id="49" w:name="scope-and-philosophy-of-ai-use"/>
    <w:p>
      <w:pPr>
        <w:pStyle w:val="Heading1"/>
      </w:pPr>
      <w:r>
        <w:t xml:space="preserve">Scope and Philosophy of AI Use</w:t>
      </w:r>
    </w:p>
    <w:p>
      <w:pPr>
        <w:pStyle w:val="FirstParagraph"/>
      </w:pPr>
      <w:r>
        <w:t xml:space="preserve">All conceptual decisions – the choice of Scenario 2, the eleven-entity</w:t>
      </w:r>
      <w:r>
        <w:t xml:space="preserve"> </w:t>
      </w:r>
      <w:r>
        <w:t xml:space="preserve">schema, the normalisation reasoning, the dynamic-pricing innovation, the</w:t>
      </w:r>
      <w:r>
        <w:t xml:space="preserve"> </w:t>
      </w:r>
      <w:r>
        <w:t xml:space="preserve">12-query strategy, and the report’s narrative – were authored by the seven</w:t>
      </w:r>
      <w:r>
        <w:t xml:space="preserve"> </w:t>
      </w:r>
      <w:r>
        <w:t xml:space="preserve">group members. We restricted GenAI to two narrow categories: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Small, repetitive, mechanical coding</w:t>
      </w:r>
      <w:r>
        <w:t xml:space="preserve"> </w:t>
      </w:r>
      <w:r>
        <w:t xml:space="preserve">– the kind of</w:t>
      </w:r>
      <w:r>
        <w:t xml:space="preserve"> </w:t>
      </w:r>
      <w:r>
        <w:t xml:space="preserve">boilerplate that would otherwise be copy-paste-and-modify drudgery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statements,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rows,</w:t>
      </w:r>
      <w:r>
        <w:t xml:space="preserve"> </w:t>
      </w:r>
      <w:r>
        <w:t xml:space="preserve">fence-post date formatting,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 </w:t>
      </w:r>
      <w:r>
        <w:t xml:space="preserve">plotting</w:t>
      </w:r>
      <w:r>
        <w:t xml:space="preserve"> </w:t>
      </w:r>
      <w:r>
        <w:t xml:space="preserve">boilerplate). The intellectual content came from the human design;</w:t>
      </w:r>
      <w:r>
        <w:t xml:space="preserve"> </w:t>
      </w:r>
      <w:r>
        <w:t xml:space="preserve">the AI saved typing time only.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Language polishing and Chinese 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 English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– converting the group’s Chinese-language design</w:t>
      </w:r>
      <w:r>
        <w:t xml:space="preserve"> </w:t>
      </w:r>
      <w:r>
        <w:t xml:space="preserve">notes and brainstorm bullets into academic English for the final</w:t>
      </w:r>
      <w:r>
        <w:t xml:space="preserve"> </w:t>
      </w:r>
      <w:r>
        <w:t xml:space="preserve">report.</w:t>
      </w:r>
    </w:p>
    <w:p>
      <w:pPr>
        <w:pStyle w:val="FirstParagraph"/>
      </w:pPr>
      <w:r>
        <w:t xml:space="preserve">We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AI to invent the design, write analytical</w:t>
      </w:r>
      <w:r>
        <w:t xml:space="preserve"> </w:t>
      </w:r>
      <w:r>
        <w:t xml:space="preserve">reasoning, generate the EER diagram, or draft answers we will give at the</w:t>
      </w:r>
      <w:r>
        <w:t xml:space="preserve"> </w:t>
      </w:r>
      <w:r>
        <w:t xml:space="preserve">defence – those are human authorship.</w:t>
      </w:r>
    </w:p>
    <w:bookmarkEnd w:id="49"/>
    <w:bookmarkStart w:id="50" w:name="tools-used"/>
    <w:p>
      <w:pPr>
        <w:pStyle w:val="Heading1"/>
      </w:pPr>
      <w:r>
        <w:t xml:space="preserve">Tools 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Vendor /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Code (CLI)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Anthropic, Opus 4.7 (1M ctx)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Boilerplate generation,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CLI (consult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OpenAI, codex-cli 0.128.0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SQL &amp; Python code review</w:t>
            </w:r>
          </w:p>
        </w:tc>
      </w:tr>
    </w:tbl>
    <w:p>
      <w:pPr>
        <w:pStyle w:val="BodyText"/>
      </w:pPr>
      <w:r>
        <w:br/>
      </w:r>
      <w:r>
        <w:t xml:space="preserve">No image-generation, voice, or web-search AI tools were used.</w:t>
      </w:r>
    </w:p>
    <w:bookmarkEnd w:id="50"/>
    <w:bookmarkStart w:id="51" w:name="concrete-tasks-delegated-to-ai"/>
    <w:p>
      <w:pPr>
        <w:pStyle w:val="Heading1"/>
      </w:pPr>
      <w:r>
        <w:t xml:space="preserve">Concrete Tasks Delegated to AI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AI contribution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Human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init.sql</w:t>
            </w:r>
            <w:r>
              <w:t xml:space="preserve"> </w:t>
            </w:r>
            <w:r>
              <w:t xml:space="preserve">(11</w:t>
            </w:r>
            <w:r>
              <w:t xml:space="preserve"> </w:t>
            </w:r>
            <w:r>
              <w:rPr>
                <w:rStyle w:val="VerbatimChar"/>
              </w:rPr>
              <w:t xml:space="preserve">CREATE TABLE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DDL boilerplate:</w:t>
            </w:r>
            <w:r>
              <w:t xml:space="preserve"> </w:t>
            </w:r>
            <w:r>
              <w:rPr>
                <w:rStyle w:val="VerbatimChar"/>
              </w:rPr>
              <w:t xml:space="preserve">ENGINE=InnoDB</w:t>
            </w:r>
            <w:r>
              <w:t xml:space="preserve">, FK syntax,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 </w:t>
            </w:r>
            <w:r>
              <w:t xml:space="preserve">declarations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 list, attribute types, key/UNIQUE/CHECK constraints, FK naming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sample_data.sql</w:t>
            </w:r>
            <w:r>
              <w:t xml:space="preserve"> </w:t>
            </w:r>
            <w:r>
              <w:t xml:space="preserve">(125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rows)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Row-by-row INSERT typing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Edge-case matrix (repeat guests, cancellations, multi-room, partial deposits, NULL completion)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generate_figures.py</w:t>
            </w:r>
            <w:r>
              <w:t xml:space="preserve"> </w:t>
            </w:r>
            <w:r>
              <w:t xml:space="preserve">(10 charts)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matplotlib/seaborn boilerplate for violin, Sankey, raincloud, lollipop, heatmap, ridge, stacked-bar, radar, CDF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type selection, palette choice, titles, captions, data-fidelity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Chinese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English 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prose segments converted to academic 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Chinese design notes; verification of preserved technical 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independent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Surfaced 7 mechanical bugs (ENUM mismatches, missing CHECK, LEFT JOIN filter placement)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each finding, decided fix vs. accept, applied edits</w:t>
            </w:r>
          </w:p>
        </w:tc>
      </w:tr>
    </w:tbl>
    <w:bookmarkEnd w:id="51"/>
    <w:bookmarkStart w:id="52" w:name="verification-and-final-authorship"/>
    <w:p>
      <w:pPr>
        <w:pStyle w:val="Heading1"/>
      </w:pPr>
      <w:r>
        <w:t xml:space="preserve">Verification and Final Authorship</w:t>
      </w:r>
    </w:p>
    <w:p>
      <w:pPr>
        <w:pStyle w:val="FirstParagraph"/>
      </w:pPr>
      <w:r>
        <w:t xml:space="preserve">Every AI-produced artefact was (i) read line-by-line by a group member;</w:t>
      </w:r>
      <w:r>
        <w:t xml:space="preserve"> </w:t>
      </w:r>
      <w:r>
        <w:t xml:space="preserve">(ii) executed against MySQL 8.0 (the 12 query results in</w:t>
      </w:r>
      <w:r>
        <w:t xml:space="preserve"> </w:t>
      </w:r>
      <w:r>
        <w:rPr>
          <w:rStyle w:val="VerbatimChar"/>
        </w:rPr>
        <w:t xml:space="preserve">result/query_outputs/</w:t>
      </w:r>
      <w:r>
        <w:t xml:space="preserve"> </w:t>
      </w:r>
      <w:r>
        <w:t xml:space="preserve">are evidence); (iii) modified where the</w:t>
      </w:r>
      <w:r>
        <w:t xml:space="preserve"> </w:t>
      </w:r>
      <w:r>
        <w:t xml:space="preserve">suggestion did not fit the design (e.g. Q5 enum correction</w:t>
      </w:r>
      <w:r>
        <w:t xml:space="preserve"> </w:t>
      </w:r>
      <w:r>
        <w:rPr>
          <w:rStyle w:val="VerbatimChar"/>
        </w:rPr>
        <w:t xml:space="preserve">Out_of_Service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Maintenance</w:t>
      </w:r>
      <w:r>
        <w:t xml:space="preserve">; Q11 tier</w:t>
      </w:r>
      <w:r>
        <w:t xml:space="preserve"> </w:t>
      </w:r>
      <w:r>
        <w:rPr>
          <w:rStyle w:val="VerbatimChar"/>
        </w:rPr>
        <w:t xml:space="preserve">Diamond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Platinum</w:t>
      </w:r>
      <w:r>
        <w:t xml:space="preserve">); (iv) documented in this appendix.</w:t>
      </w:r>
      <w:r>
        <w:t xml:space="preserve"> </w:t>
      </w:r>
      <w:r>
        <w:t xml:space="preserve">Final responsibility for correctness, design choices, and academic</w:t>
      </w:r>
      <w:r>
        <w:t xml:space="preserve"> </w:t>
      </w:r>
      <w:r>
        <w:t xml:space="preserve">integrity rests with the seven group members.</w:t>
      </w:r>
    </w:p>
    <w:bookmarkEnd w:id="52"/>
    <w:bookmarkStart w:id="95" w:name="X2e083f2f63569fa505853286d9e43a9440a934f"/>
    <w:p>
      <w:pPr>
        <w:pStyle w:val="Heading1"/>
      </w:pPr>
      <w:r>
        <w:t xml:space="preserve">Representative Prompts and Outputs (Screenshots)</w:t>
      </w:r>
    </w:p>
    <w:p>
      <w:pPr>
        <w:pStyle w:val="FirstParagraph"/>
      </w:pPr>
      <w:r>
        <w:t xml:space="preserve">The six prompt/output pairs below cover every category of AI use disclosed</w:t>
      </w:r>
      <w:r>
        <w:t xml:space="preserve"> </w:t>
      </w:r>
      <w:r>
        <w:t xml:space="preserve">in Sections B and C. Each screenshot is a verbatim terminal capture; the</w:t>
      </w:r>
      <w:r>
        <w:t xml:space="preserve"> </w:t>
      </w:r>
      <w:r>
        <w:t xml:space="preserve">model name appears in the upper-right window-tag of every capture.</w:t>
      </w:r>
    </w:p>
    <w:bookmarkStart w:id="59" w:name="Xd0808a4d0024995d6216952daa136b52fa7c2f5"/>
    <w:p>
      <w:pPr>
        <w:pStyle w:val="Heading2"/>
      </w:pPr>
      <w:r>
        <w:t xml:space="preserve">Pair 1 – Schema scaffolding (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boilerplate)</w:t>
      </w:r>
    </w:p>
    <w:p>
      <w:pPr>
        <w:pStyle w:val="FirstParagraph"/>
      </w:pPr>
      <w:r>
        <w:t xml:space="preserve">Tool: Claude Code, model: Claude Opus 4.7. Purpose: generate the</w:t>
      </w:r>
      <w:r>
        <w:t xml:space="preserve"> </w:t>
      </w:r>
      <w:r>
        <w:t xml:space="preserve">11-table</w:t>
      </w:r>
      <w:r>
        <w:t xml:space="preserve"> </w:t>
      </w:r>
      <w:r>
        <w:rPr>
          <w:rStyle w:val="VerbatimChar"/>
        </w:rPr>
        <w:t xml:space="preserve">init.sql</w:t>
      </w:r>
      <w:r>
        <w:t xml:space="preserve"> </w:t>
      </w:r>
      <w:r>
        <w:t xml:space="preserve">from a human-written relation list.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067300" cy="4709818"/>
                  <wp:effectExtent b="0" l="0" r="0" t="0"/>
                  <wp:docPr descr="image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./../genai_appendix/prompt_0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47098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>
                  <wp:extent cx="5067300" cy="5304131"/>
                  <wp:effectExtent b="0" l="0" r="0" t="0"/>
                  <wp:docPr descr="image" title="" id="57" name="Picture"/>
                  <a:graphic>
                    <a:graphicData uri="http://schemas.openxmlformats.org/drawingml/2006/picture">
                      <pic:pic>
                        <pic:nvPicPr>
                          <pic:cNvPr descr="../../genai_appendix/output_0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53041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9"/>
    <w:bookmarkStart w:id="66" w:name="X70e2ee0287e53f5bffdc18ec5cddb4b5d014f0b"/>
    <w:p>
      <w:pPr>
        <w:pStyle w:val="Heading2"/>
      </w:pPr>
      <w:r>
        <w:t xml:space="preserve">Pair 2 – Sample data rows (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boilerplate)</w:t>
      </w:r>
    </w:p>
    <w:p>
      <w:pPr>
        <w:pStyle w:val="FirstParagraph"/>
      </w:pPr>
      <w:r>
        <w:t xml:space="preserve">Tool: Claude Code, model: Claude Opus 4.7. Purpose: produce</w:t>
      </w:r>
      <w:r>
        <w:t xml:space="preserve"> </w:t>
      </w:r>
      <w:r>
        <w:t xml:space="preserve">edge-case-rich INSERT rows under a human-written specification.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067300" cy="4316588"/>
                  <wp:effectExtent b="0" l="0" r="0" t="0"/>
                  <wp:docPr descr="image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../genai_appendix/prompt_02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43165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>
                  <wp:extent cx="5067300" cy="4513203"/>
                  <wp:effectExtent b="0" l="0" r="0" t="0"/>
                  <wp:docPr descr="image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../genai_appendix/output_02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45132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66"/>
    <w:bookmarkStart w:id="73" w:name="pair-3-chinesetoenglish-translation"/>
    <w:p>
      <w:pPr>
        <w:pStyle w:val="Heading2"/>
      </w:pPr>
      <w:r>
        <w:t xml:space="preserve">Pair 3 – Chinese</w:t>
      </w:r>
      <m:oMath>
        <m:r>
          <m:rPr>
            <m:sty m:val="p"/>
          </m:rPr>
          <m:t>→</m:t>
        </m:r>
      </m:oMath>
      <w:r>
        <w:t xml:space="preserve">English translation</w:t>
      </w:r>
    </w:p>
    <w:p>
      <w:pPr>
        <w:pStyle w:val="FirstParagraph"/>
      </w:pPr>
      <w:r>
        <w:t xml:space="preserve">Tool: Claude Code, model: Claude Opus 4.7. Purpose: translate</w:t>
      </w:r>
      <w:r>
        <w:t xml:space="preserve"> </w:t>
      </w:r>
      <w:r>
        <w:t xml:space="preserve">Chinese brainstorm notes into academic English for the report.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067300" cy="3717807"/>
                  <wp:effectExtent b="0" l="0" r="0" t="0"/>
                  <wp:docPr descr="image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../genai_appendix/prompt_03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37178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>
                  <wp:extent cx="5067300" cy="4709818"/>
                  <wp:effectExtent b="0" l="0" r="0" t="0"/>
                  <wp:docPr descr="image" title="" id="71" name="Picture"/>
                  <a:graphic>
                    <a:graphicData uri="http://schemas.openxmlformats.org/drawingml/2006/picture">
                      <pic:pic>
                        <pic:nvPicPr>
                          <pic:cNvPr descr="../../genai_appendix/output_03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47098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80" w:name="pair-4-independent-code-review"/>
    <w:p>
      <w:pPr>
        <w:pStyle w:val="Heading2"/>
      </w:pPr>
      <w:r>
        <w:t xml:space="preserve">Pair 4 – Independent code review</w:t>
      </w:r>
    </w:p>
    <w:p>
      <w:pPr>
        <w:pStyle w:val="FirstParagraph"/>
      </w:pPr>
      <w:r>
        <w:t xml:space="preserve">Tool: Codex CLI (consult mode), model: GPT-5.4 via Codex CLI</w:t>
      </w:r>
      <w:r>
        <w:t xml:space="preserve"> </w:t>
      </w:r>
      <w:r>
        <w:t xml:space="preserve">0.128.0. Purpose: adversarial review of SQL queries and Python agent for</w:t>
      </w:r>
      <w:r>
        <w:t xml:space="preserve"> </w:t>
      </w:r>
      <w:r>
        <w:t xml:space="preserve">mechanical bugs.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067300" cy="4115505"/>
                  <wp:effectExtent b="0" l="0" r="0" t="0"/>
                  <wp:docPr descr="image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../genai_appendix/prompt_04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41155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>
                  <wp:extent cx="5067300" cy="6693840"/>
                  <wp:effectExtent b="0" l="0" r="0" t="0"/>
                  <wp:docPr descr="image" title="" id="78" name="Picture"/>
                  <a:graphic>
                    <a:graphicData uri="http://schemas.openxmlformats.org/drawingml/2006/picture">
                      <pic:pic>
                        <pic:nvPicPr>
                          <pic:cNvPr descr="../../genai_appendix/output_04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6693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0"/>
    <w:bookmarkStart w:id="87" w:name="Xf74a4be2164950adc3ce53be3ddae0d89808d8d"/>
    <w:p>
      <w:pPr>
        <w:pStyle w:val="Heading2"/>
      </w:pPr>
      <w:r>
        <w:t xml:space="preserve">Pair 5 – Violin-plot matplotlib boilerplate</w:t>
      </w:r>
    </w:p>
    <w:p>
      <w:pPr>
        <w:pStyle w:val="FirstParagraph"/>
      </w:pPr>
      <w:r>
        <w:t xml:space="preserve">Tool: Claude Code, model: Claude Opus 4.7. Purpose: write the</w:t>
      </w:r>
      <w:r>
        <w:t xml:space="preserve"> </w:t>
      </w:r>
      <w:r>
        <w:t xml:space="preserve">seaborn violin-plot call signature for Figure </w:t>
      </w:r>
      <w:hyperlink w:anchor="fig:violin">
        <w:r>
          <w:rPr>
            <w:rStyle w:val="Hyperlink"/>
          </w:rPr>
          <w:t xml:space="preserve">2</w:t>
        </w:r>
      </w:hyperlink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067300" cy="3909953"/>
                  <wp:effectExtent b="0" l="0" r="0" t="0"/>
                  <wp:docPr descr="image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../genai_appendix/prompt_05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39099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>
                  <wp:extent cx="5067300" cy="5304131"/>
                  <wp:effectExtent b="0" l="0" r="0" t="0"/>
                  <wp:docPr descr="image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../genai_appendix/output_05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53041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7"/>
    <w:bookmarkStart w:id="94" w:name="X83d73314f5d2708f954809e7e3357435145d007"/>
    <w:p>
      <w:pPr>
        <w:pStyle w:val="Heading2"/>
      </w:pPr>
      <w:r>
        <w:t xml:space="preserve">Pair 6 – Raincloud-plot three-layer construction</w:t>
      </w:r>
    </w:p>
    <w:p>
      <w:pPr>
        <w:pStyle w:val="FirstParagraph"/>
      </w:pPr>
      <w:r>
        <w:t xml:space="preserve">Tool: Claude Code, model: Claude Opus 4.7. Purpose: write the</w:t>
      </w:r>
      <w:r>
        <w:t xml:space="preserve"> </w:t>
      </w:r>
      <w:r>
        <w:t xml:space="preserve">half-violin + jittered scatter + boxplot composition used in</w:t>
      </w:r>
      <w:r>
        <w:t xml:space="preserve"> </w:t>
      </w:r>
      <w:r>
        <w:t xml:space="preserve">Figure </w:t>
      </w:r>
      <w:hyperlink w:anchor="fig:raincloud">
        <w:r>
          <w:rPr>
            <w:rStyle w:val="Hyperlink"/>
          </w:rPr>
          <w:t xml:space="preserve">5</w:t>
        </w:r>
      </w:hyperlink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067300" cy="4115505"/>
                  <wp:effectExtent b="0" l="0" r="0" t="0"/>
                  <wp:docPr descr="image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../genai_appendix/prompt_06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41155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>
                  <wp:extent cx="5067300" cy="6693840"/>
                  <wp:effectExtent b="0" l="0" r="0" t="0"/>
                  <wp:docPr descr="image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../genai_appendix/output_06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6693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1" Target="media/rId91.png" /><Relationship Type="http://schemas.openxmlformats.org/officeDocument/2006/relationships/image" Id="rId53" Target="media/rId53.png" /><Relationship Type="http://schemas.openxmlformats.org/officeDocument/2006/relationships/image" Id="rId60" Target="media/rId60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1" Target="media/rId81.png" /><Relationship Type="http://schemas.openxmlformats.org/officeDocument/2006/relationships/image" Id="rId88" Target="media/rId88.png" /><Relationship Type="http://schemas.openxmlformats.org/officeDocument/2006/relationships/image" Id="rId13" Target="media/rId13.png" /><Relationship Type="http://schemas.openxmlformats.org/officeDocument/2006/relationships/image" Id="rId21" Target="media/rId21.pdf" /><Relationship Type="http://schemas.openxmlformats.org/officeDocument/2006/relationships/image" Id="rId30" Target="media/rId30.pdf" /><Relationship Type="http://schemas.openxmlformats.org/officeDocument/2006/relationships/image" Id="rId25" Target="media/rId25.pdf" /><Relationship Type="http://schemas.openxmlformats.org/officeDocument/2006/relationships/image" Id="rId34" Target="media/rId34.pdf" /><Relationship Type="http://schemas.openxmlformats.org/officeDocument/2006/relationships/image" Id="rId39" Target="media/rId39.pdf" /><Relationship Type="http://schemas.openxmlformats.org/officeDocument/2006/relationships/image" Id="rId43" Target="media/rId43.pdf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2026-05-20T12:25:01Z</dcterms:created>
  <dcterms:modified xsi:type="dcterms:W3CDTF">2026-05-20T12:25:01Z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