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color w:val="12343B"/>
          <w:sz w:val="34"/>
        </w:rPr>
        <w:t>GiziRank: Data Mining untuk Prioritas Monitoring dan Dukungan Program Makan Bergizi Gratis</w:t>
      </w:r>
    </w:p>
    <w:p>
      <w:pPr>
        <w:jc w:val="center"/>
      </w:pPr>
      <w:r>
        <w:rPr>
          <w:rFonts w:ascii="Times New Roman" w:hAnsi="Times New Roman" w:eastAsia="Times New Roman"/>
          <w:b/>
          <w:color w:val="465A62"/>
          <w:sz w:val="22"/>
        </w:rPr>
        <w:t>GEMASTIK XVIII - Penambangan Data</w:t>
      </w:r>
    </w:p>
    <w:p>
      <w:pPr>
        <w:jc w:val="center"/>
      </w:pPr>
      <w:r>
        <w:rPr>
          <w:rFonts w:ascii="Times New Roman" w:hAnsi="Times New Roman" w:eastAsia="Times New Roman"/>
          <w:b w:val="0"/>
          <w:color w:val="465A62"/>
          <w:sz w:val="20"/>
        </w:rPr>
        <w:t>&lt;ID Tim&gt; - &lt;Nama Tim&gt; - &lt;Universitas&gt;</w:t>
        <w:br/>
        <w:t>&lt;Anggota 1&gt;, &lt;Anggota 2&gt;, &lt;Anggota 3&gt;</w:t>
      </w:r>
    </w:p>
    <w:p>
      <w:pPr>
        <w:keepNext/>
        <w:spacing w:before="240" w:after="80"/>
      </w:pPr>
      <w:r>
        <w:rPr>
          <w:rFonts w:ascii="Times New Roman" w:hAnsi="Times New Roman" w:eastAsia="Times New Roman"/>
          <w:b/>
          <w:color w:val="12343B"/>
          <w:sz w:val="28"/>
        </w:rPr>
        <w:t>0. Abstrak</w:t>
      </w:r>
    </w:p>
    <w:p>
      <w:pPr>
        <w:spacing w:after="120" w:line="259" w:lineRule="auto"/>
      </w:pPr>
      <w:r>
        <w:rPr>
          <w:rFonts w:ascii="Times New Roman" w:hAnsi="Times New Roman" w:eastAsia="Times New Roman"/>
          <w:sz w:val="22"/>
        </w:rPr>
        <w:t>Program Makan Bergizi Gratis (MBG) membutuhkan mekanisme prioritas monitoring yang terukur karena skala penerima dan unit layanan terus bertambah. Makalah ini mengusulkan GiziRank, sistem pemeringkatan kabupaten/kota untuk membantu menentukan wilayah yang perlu diprioritaskan dalam dukungan kualitas layanan, perluasan cakupan, dan pemantauan berbasis data. Dataset dibangun dari sumber publik resmi, yaitu Dashboard MBG Kemendikdasmen, direktori SPPG Operasional BGN, Indeks Ketahanan Pangan Bapanas, harga pangan Bapanas, dan tabel kemiskinan BPS bila endpoint tersedia. Metode yang digunakan terdiri dari indeks risiko transparan, model ranking berbasis ensemble decision-stump, evaluasi Precision@K, Recall@K, NDCG@K, ablation study, serta analisis TransferRisk antarkelompok wilayah. Hasil awal menunjukkan model ranking mampu menghasilkan queue prioritas yang dapat dijelaskan melalui faktor kebutuhan gizi, gap cakupan, kerentanan pangan, tekanan sosial-ekonomi, dan tekanan harga. GiziRank tidak mengklaim penilaian individu atau keamanan dapur, melainkan menyediakan alat bantu prioritas untuk monitoring program publik.</w:t>
      </w:r>
    </w:p>
    <w:p>
      <w:pPr>
        <w:spacing w:after="120" w:line="259" w:lineRule="auto"/>
      </w:pPr>
      <w:r>
        <w:rPr>
          <w:rFonts w:ascii="Times New Roman" w:hAnsi="Times New Roman" w:eastAsia="Times New Roman"/>
          <w:sz w:val="22"/>
        </w:rPr>
        <w:t>Kata kunci: data mining, MBG, learning to rank, monitoring prioritas, ketahanan pangan, explainable AI.</w:t>
      </w:r>
    </w:p>
    <w:p>
      <w:pPr>
        <w:keepNext/>
        <w:spacing w:before="240" w:after="80"/>
      </w:pPr>
      <w:r>
        <w:rPr>
          <w:rFonts w:ascii="Times New Roman" w:hAnsi="Times New Roman" w:eastAsia="Times New Roman"/>
          <w:b/>
          <w:color w:val="12343B"/>
          <w:sz w:val="28"/>
        </w:rPr>
        <w:t>1. Pendahuluan</w:t>
      </w:r>
    </w:p>
    <w:p>
      <w:pPr>
        <w:spacing w:after="120" w:line="259" w:lineRule="auto"/>
      </w:pPr>
      <w:r>
        <w:rPr>
          <w:rFonts w:ascii="Times New Roman" w:hAnsi="Times New Roman" w:eastAsia="Times New Roman"/>
          <w:sz w:val="22"/>
        </w:rPr>
        <w:t>Tema GEMASTIK 2025 menekankan peningkatan TIK menuju kemandirian bangsa. Dalam konteks tersebut, MBG relevan karena menyentuh kualitas sumber daya manusia, ketahanan pangan, dan tata kelola layanan publik. Masalah praktisnya bukan sekadar menampilkan dashboard, tetapi membuat daftar prioritas yang dapat dipertanggungjawabkan ketika kapasitas monitoring terbatas.</w:t>
      </w:r>
    </w:p>
    <w:p>
      <w:pPr>
        <w:spacing w:after="120" w:line="259" w:lineRule="auto"/>
      </w:pPr>
      <w:r>
        <w:rPr>
          <w:rFonts w:ascii="Times New Roman" w:hAnsi="Times New Roman" w:eastAsia="Times New Roman"/>
          <w:sz w:val="22"/>
        </w:rPr>
        <w:t>Tujuan penelitian adalah membangun pipeline data mining yang mengintegrasikan sinyal kebutuhan, cakupan, pangan, dan sosial-ekonomi untuk menghasilkan ranking kabupaten/kota. Manfaatnya adalah membantu pengambil keputusan membaca wilayah prioritas dengan metrik Top-K dan alasan yang dapat dijelaskan. Batasan utama: unit analisis adalah kabupaten/kota, label adalah proxy prioritas, dan keluaran tidak digunakan untuk menilai individu, rumah tangga, atau SPPG tertentu.</w:t>
      </w:r>
    </w:p>
    <w:p>
      <w:pPr>
        <w:keepNext/>
        <w:spacing w:before="240" w:after="80"/>
      </w:pPr>
      <w:r>
        <w:rPr>
          <w:rFonts w:ascii="Times New Roman" w:hAnsi="Times New Roman" w:eastAsia="Times New Roman"/>
          <w:b/>
          <w:color w:val="12343B"/>
          <w:sz w:val="28"/>
        </w:rPr>
        <w:t>2. Kajian Terkait</w:t>
      </w:r>
    </w:p>
    <w:p>
      <w:pPr>
        <w:spacing w:after="120" w:line="259" w:lineRule="auto"/>
      </w:pPr>
      <w:r>
        <w:rPr>
          <w:rFonts w:ascii="Times New Roman" w:hAnsi="Times New Roman" w:eastAsia="Times New Roman"/>
          <w:sz w:val="22"/>
        </w:rPr>
        <w:t>Proyek ini mengambil bentuk masalah learning-to-rank dan recommender system, serupa pola tugas KDD yang menilai kemampuan model menyusun prioritas item berdasarkan relevansi. Dalam domain kebijakan publik, pendekatan Top-K lebih cocok daripada klasifikasi biasa karena keputusan lapangan sering berbentuk alokasi sumber daya terbatas. Evaluasi menggunakan NDCG@K, Precision@K, dan Recall@K mengikuti praktik information retrieval dan ranking. Penggunaan model pohon dipilih karena kuat pada data tabular, sedangkan feature importance dipakai untuk menjaga keterjelasan argumen kepada juri dan pemangku kepentingan.</w:t>
      </w:r>
    </w:p>
    <w:p>
      <w:pPr>
        <w:keepNext/>
        <w:spacing w:before="240" w:after="80"/>
      </w:pPr>
      <w:r>
        <w:rPr>
          <w:rFonts w:ascii="Times New Roman" w:hAnsi="Times New Roman" w:eastAsia="Times New Roman"/>
          <w:b/>
          <w:color w:val="12343B"/>
          <w:sz w:val="28"/>
        </w:rPr>
        <w:t>3. Dataset dan Formulasi Masalah</w:t>
      </w:r>
    </w:p>
    <w:p>
      <w:pPr>
        <w:keepNext/>
      </w:pPr>
      <w:r>
        <w:rPr>
          <w:rFonts w:ascii="Times New Roman" w:hAnsi="Times New Roman" w:eastAsia="Times New Roman"/>
          <w:b/>
          <w:color w:val="12343B"/>
          <w:sz w:val="18"/>
        </w:rPr>
        <w:t>Tabel 1. Status sumber data publik yang digunakan.</w:t>
      </w:r>
    </w:p>
    <w:tbl>
      <w:tblPr>
        <w:tblStyle w:val="TableGrid"/>
        <w:tblW w:type="auto" w:w="0"/>
        <w:tblLayout w:type="autofit"/>
        <w:tblLook w:firstColumn="1" w:firstRow="1" w:lastColumn="0" w:lastRow="0" w:noHBand="0" w:noVBand="1" w:val="04A0"/>
      </w:tblPr>
      <w:tblGrid>
        <w:gridCol w:w="2498"/>
        <w:gridCol w:w="2498"/>
        <w:gridCol w:w="2498"/>
        <w:gridCol w:w="2498"/>
      </w:tblGrid>
      <w:tr>
        <w:tc>
          <w:tcPr>
            <w:tcW w:type="dxa" w:w="2498"/>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source</w:t>
            </w:r>
          </w:p>
        </w:tc>
        <w:tc>
          <w:tcPr>
            <w:tcW w:type="dxa" w:w="2498"/>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status</w:t>
            </w:r>
          </w:p>
        </w:tc>
        <w:tc>
          <w:tcPr>
            <w:tcW w:type="dxa" w:w="2498"/>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rows</w:t>
            </w:r>
          </w:p>
        </w:tc>
        <w:tc>
          <w:tcPr>
            <w:tcW w:type="dxa" w:w="2498"/>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notes</w:t>
            </w:r>
          </w:p>
        </w:tc>
      </w:tr>
      <w:tr>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Dashboard MBG Kemendikdasmen</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reused</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438</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Existing raw snapshot</w:t>
            </w:r>
          </w:p>
        </w:tc>
      </w:tr>
      <w:tr>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BGN SPPG Operasional</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reused</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28060</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Existing raw snapshot</w:t>
            </w:r>
          </w:p>
        </w:tc>
      </w:tr>
      <w:tr>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Bapanas IKP/FSVA</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ok</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514</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Latest year=2024</w:t>
            </w:r>
          </w:p>
        </w:tc>
      </w:tr>
      <w:tr>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Bapanas harga pangan</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ok</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27722</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Latest period=2025-04-01</w:t>
            </w:r>
          </w:p>
        </w:tc>
      </w:tr>
      <w:tr>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BPS poverty table</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ok</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514</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Parsed embedded table year=2025</w:t>
            </w:r>
          </w:p>
        </w:tc>
      </w:tr>
      <w:tr>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Dashboard Stunting TP2S</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manual_optional_missing</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0</w:t>
            </w:r>
          </w:p>
        </w:tc>
        <w:tc>
          <w:tcPr>
            <w:tcW w:type="dxa" w:w="2498"/>
            <w:tcMar>
              <w:top w:w="80" w:type="dxa"/>
              <w:start w:w="90" w:type="dxa"/>
              <w:bottom w:w="80" w:type="dxa"/>
              <w:end w:w="90" w:type="dxa"/>
            </w:tcMar>
            <w:vAlign w:val="center"/>
          </w:tcPr>
          <w:p>
            <w:pPr>
              <w:spacing w:after="0"/>
            </w:pPr>
            <w:r>
              <w:rPr>
                <w:rFonts w:ascii="Times New Roman" w:hAnsi="Times New Roman" w:eastAsia="Times New Roman"/>
                <w:sz w:val="16"/>
              </w:rPr>
              <w:t>No direct tabular snapshot supplied; v1 uses MBG learner-condition proxy and supports this manual CSV.</w:t>
            </w:r>
          </w:p>
        </w:tc>
      </w:tr>
    </w:tbl>
    <w:p/>
    <w:p>
      <w:pPr>
        <w:keepNext/>
      </w:pPr>
      <w:r>
        <w:rPr>
          <w:rFonts w:ascii="Times New Roman" w:hAnsi="Times New Roman" w:eastAsia="Times New Roman"/>
          <w:b/>
          <w:color w:val="12343B"/>
          <w:sz w:val="18"/>
        </w:rPr>
        <w:t>Tabel 2. Ringkasan dataset terintegrasi.</w:t>
      </w:r>
    </w:p>
    <w:tbl>
      <w:tblPr>
        <w:tblStyle w:val="TableGrid"/>
        <w:tblW w:type="auto" w:w="0"/>
        <w:tblLayout w:type="autofit"/>
        <w:tblLook w:firstColumn="1" w:firstRow="1" w:lastColumn="0" w:lastRow="0" w:noHBand="0" w:noVBand="1" w:val="04A0"/>
      </w:tblPr>
      <w:tblGrid>
        <w:gridCol w:w="4997"/>
        <w:gridCol w:w="4997"/>
      </w:tblGrid>
      <w:tr>
        <w:tc>
          <w:tcPr>
            <w:tcW w:type="dxa" w:w="4997"/>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Metrik</w:t>
            </w:r>
          </w:p>
        </w:tc>
        <w:tc>
          <w:tcPr>
            <w:tcW w:type="dxa" w:w="4997"/>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Nilai</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district_rows</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438</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provinces</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38</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year_month</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2026-05</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mbg_beneficiaries</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4069149</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mbg_satpen</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20734</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sppg_rows_scraped</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28060</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sppg_district_matches</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421</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ikp_missing_rows</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15</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poverty_missing_rows</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21</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stunting_missing_rows</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438</w:t>
            </w:r>
          </w:p>
        </w:tc>
      </w:tr>
    </w:tbl>
    <w:p/>
    <w:p>
      <w:pPr>
        <w:spacing w:after="120" w:line="259" w:lineRule="auto"/>
      </w:pPr>
      <w:r>
        <w:rPr>
          <w:rFonts w:ascii="Times New Roman" w:hAnsi="Times New Roman" w:eastAsia="Times New Roman"/>
          <w:sz w:val="22"/>
        </w:rPr>
        <w:t>Setiap baris dataset merepresentasikan satu kabupaten/kota pada periode snapshot MBG terbaru. Sinyal dukungan diwakili jumlah penerima MBG, satuan pendidikan, dan jumlah SPPG operasional yang berhasil diagregasikan. Sinyal kebutuhan diwakili rasio kondisi khusus peserta, kerentanan pangan IKP, tekanan harga, dan kemiskinan bila tabel BPS dapat diakses.</w:t>
      </w:r>
    </w:p>
    <w:p>
      <w:pPr>
        <w:keepNext/>
      </w:pPr>
      <w:r>
        <w:rPr>
          <w:rFonts w:ascii="Times New Roman" w:hAnsi="Times New Roman" w:eastAsia="Times New Roman"/>
          <w:b/>
          <w:color w:val="12343B"/>
          <w:sz w:val="18"/>
        </w:rPr>
        <w:t>Tabel 3. Definisi target dan skor utama.</w:t>
      </w:r>
    </w:p>
    <w:tbl>
      <w:tblPr>
        <w:tblStyle w:val="TableGrid"/>
        <w:tblW w:type="auto" w:w="0"/>
        <w:tblLayout w:type="autofit"/>
        <w:tblLook w:firstColumn="1" w:firstRow="1" w:lastColumn="0" w:lastRow="0" w:noHBand="0" w:noVBand="1" w:val="04A0"/>
      </w:tblPr>
      <w:tblGrid>
        <w:gridCol w:w="4997"/>
        <w:gridCol w:w="4997"/>
      </w:tblGrid>
      <w:tr>
        <w:tc>
          <w:tcPr>
            <w:tcW w:type="dxa" w:w="4997"/>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Variabel</w:t>
            </w:r>
          </w:p>
        </w:tc>
        <w:tc>
          <w:tcPr>
            <w:tcW w:type="dxa" w:w="4997"/>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Definisi</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nutrition_need</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Skor 0-1 dari kondisi khusus peserta, alergi/intoleransi, dan kerentanan pangan</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coverage_gap</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Selisih ternormalisasi antara need pressure dan support reach</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priority_label</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Top 20% reference_priority_score sebagai proxy prioritas monitoring</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final_priority_score</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Gabungan skor model ranking dan skor referensi transparan</w:t>
            </w:r>
          </w:p>
        </w:tc>
      </w:tr>
    </w:tbl>
    <w:p/>
    <w:p>
      <w:pPr>
        <w:keepNext/>
        <w:spacing w:before="240" w:after="80"/>
      </w:pPr>
      <w:r>
        <w:rPr>
          <w:rFonts w:ascii="Times New Roman" w:hAnsi="Times New Roman" w:eastAsia="Times New Roman"/>
          <w:b/>
          <w:color w:val="12343B"/>
          <w:sz w:val="28"/>
        </w:rPr>
        <w:t>4. Metodologi</w:t>
      </w:r>
    </w:p>
    <w:p>
      <w:pPr>
        <w:spacing w:after="120" w:line="259" w:lineRule="auto"/>
      </w:pPr>
      <w:r>
        <w:rPr>
          <w:rFonts w:ascii="Times New Roman" w:hAnsi="Times New Roman" w:eastAsia="Times New Roman"/>
          <w:sz w:val="22"/>
        </w:rPr>
        <w:t>Pipeline dimulai dari pengambilan data resmi, normalisasi nama provinsi/kabupaten, agregasi SPPG ke level kabupaten/kota, penggabungan sumber lintas lembaga, dan pembentukan fitur. Skor referensi dihitung dari kombinasi nutrition need, coverage gap, food vulnerability, socioeconomic stress, dan price stress. Model utama adalah ensemble decision-stump dengan objective logistik sederhana. Implementasi ini sengaja ringan agar dapat direplikasi tanpa dependensi ML berat.</w:t>
      </w:r>
    </w:p>
    <w:p>
      <w:pPr>
        <w:spacing w:after="120" w:line="259" w:lineRule="auto"/>
      </w:pPr>
      <w:r>
        <w:rPr>
          <w:rFonts w:ascii="Times New Roman" w:hAnsi="Times New Roman" w:eastAsia="Times New Roman"/>
          <w:sz w:val="22"/>
        </w:rPr>
        <w:t>Model final menggunakan 90 stump dari 10 fitur. Validasi dilakukan dengan holdout berbasis provinsi agar evaluasi tidak hanya mengukur kemampuan menghafal distrik dalam provinsi yang sama.</w:t>
      </w:r>
    </w:p>
    <w:p>
      <w:pPr>
        <w:keepNext/>
        <w:spacing w:before="240" w:after="80"/>
      </w:pPr>
      <w:r>
        <w:rPr>
          <w:rFonts w:ascii="Times New Roman" w:hAnsi="Times New Roman" w:eastAsia="Times New Roman"/>
          <w:b/>
          <w:color w:val="12343B"/>
          <w:sz w:val="28"/>
        </w:rPr>
        <w:t>5. Eksperimen dan Pengujian</w:t>
      </w:r>
    </w:p>
    <w:p>
      <w:pPr>
        <w:keepNext/>
      </w:pPr>
      <w:r>
        <w:rPr>
          <w:rFonts w:ascii="Times New Roman" w:hAnsi="Times New Roman" w:eastAsia="Times New Roman"/>
          <w:b/>
          <w:color w:val="12343B"/>
          <w:sz w:val="18"/>
        </w:rPr>
        <w:t>Tabel 4. Perbandingan baseline dan model utama pada province holdout.</w:t>
      </w:r>
    </w:p>
    <w:tbl>
      <w:tblPr>
        <w:tblStyle w:val="TableGrid"/>
        <w:tblW w:type="auto" w:w="0"/>
        <w:tblLayout w:type="autofit"/>
        <w:tblLook w:firstColumn="1" w:firstRow="1" w:lastColumn="0" w:lastRow="0" w:noHBand="0" w:noVBand="1" w:val="04A0"/>
      </w:tblPr>
      <w:tblGrid>
        <w:gridCol w:w="1666"/>
        <w:gridCol w:w="1666"/>
        <w:gridCol w:w="1666"/>
        <w:gridCol w:w="1666"/>
        <w:gridCol w:w="1666"/>
        <w:gridCol w:w="1666"/>
      </w:tblGrid>
      <w:tr>
        <w:tc>
          <w:tcPr>
            <w:tcW w:type="dxa" w:w="166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model</w:t>
            </w:r>
          </w:p>
        </w:tc>
        <w:tc>
          <w:tcPr>
            <w:tcW w:type="dxa" w:w="166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NDCG@K</w:t>
            </w:r>
          </w:p>
        </w:tc>
        <w:tc>
          <w:tcPr>
            <w:tcW w:type="dxa" w:w="166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Precision@K</w:t>
            </w:r>
          </w:p>
        </w:tc>
        <w:tc>
          <w:tcPr>
            <w:tcW w:type="dxa" w:w="166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Recall@K</w:t>
            </w:r>
          </w:p>
        </w:tc>
        <w:tc>
          <w:tcPr>
            <w:tcW w:type="dxa" w:w="166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Lift@K</w:t>
            </w:r>
          </w:p>
        </w:tc>
        <w:tc>
          <w:tcPr>
            <w:tcW w:type="dxa" w:w="166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Brier</w:t>
            </w:r>
          </w:p>
        </w:tc>
      </w:tr>
      <w:tr>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Random baseline</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0.452</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0.173</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0.099</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0.974</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0.332</w:t>
            </w:r>
          </w:p>
        </w:tc>
      </w:tr>
      <w:tr>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Weighted index baseline</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0.974</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0.917</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0.524</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5.151</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0.116</w:t>
            </w:r>
          </w:p>
        </w:tc>
      </w:tr>
      <w:tr>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StumpBoost Ranker</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0.992</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1.000</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0.571</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5.619</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0.068</w:t>
            </w:r>
          </w:p>
        </w:tc>
      </w:tr>
    </w:tbl>
    <w:p/>
    <w:p>
      <w:pPr>
        <w:keepNext/>
        <w:jc w:val="center"/>
      </w:pPr>
      <w:r>
        <w:drawing>
          <wp:inline xmlns:a="http://schemas.openxmlformats.org/drawingml/2006/main" xmlns:pic="http://schemas.openxmlformats.org/drawingml/2006/picture">
            <wp:extent cx="5669280" cy="3442063"/>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669280" cy="3442063"/>
                    </a:xfrm>
                    <a:prstGeom prst="rect"/>
                  </pic:spPr>
                </pic:pic>
              </a:graphicData>
            </a:graphic>
          </wp:inline>
        </w:drawing>
      </w:r>
    </w:p>
    <w:p>
      <w:pPr>
        <w:spacing w:after="140"/>
        <w:jc w:val="center"/>
      </w:pPr>
      <w:r>
        <w:rPr>
          <w:rFonts w:ascii="Times New Roman" w:hAnsi="Times New Roman" w:eastAsia="Times New Roman"/>
          <w:b w:val="0"/>
          <w:i/>
          <w:color w:val="465A62"/>
          <w:sz w:val="18"/>
        </w:rPr>
        <w:t>Gambar 1. Perbandingan NDCG@K antar model.</w:t>
      </w:r>
    </w:p>
    <w:p>
      <w:pPr>
        <w:keepNext/>
      </w:pPr>
      <w:r>
        <w:rPr>
          <w:rFonts w:ascii="Times New Roman" w:hAnsi="Times New Roman" w:eastAsia="Times New Roman"/>
          <w:b/>
          <w:color w:val="12343B"/>
          <w:sz w:val="18"/>
        </w:rPr>
        <w:t>Tabel 5. Ablation study menurut keluarga fitur.</w:t>
      </w:r>
    </w:p>
    <w:tbl>
      <w:tblPr>
        <w:tblStyle w:val="TableGrid"/>
        <w:tblW w:type="auto" w:w="0"/>
        <w:tblLayout w:type="autofit"/>
        <w:tblLook w:firstColumn="1" w:firstRow="1" w:lastColumn="0" w:lastRow="0" w:noHBand="0" w:noVBand="1" w:val="04A0"/>
      </w:tblPr>
      <w:tblGrid>
        <w:gridCol w:w="1666"/>
        <w:gridCol w:w="1666"/>
        <w:gridCol w:w="1666"/>
        <w:gridCol w:w="1666"/>
        <w:gridCol w:w="1666"/>
        <w:gridCol w:w="1666"/>
      </w:tblGrid>
      <w:tr>
        <w:tc>
          <w:tcPr>
            <w:tcW w:type="dxa" w:w="166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removed_family</w:t>
            </w:r>
          </w:p>
        </w:tc>
        <w:tc>
          <w:tcPr>
            <w:tcW w:type="dxa" w:w="166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NDCG@K</w:t>
            </w:r>
          </w:p>
        </w:tc>
        <w:tc>
          <w:tcPr>
            <w:tcW w:type="dxa" w:w="166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Precision@K</w:t>
            </w:r>
          </w:p>
        </w:tc>
        <w:tc>
          <w:tcPr>
            <w:tcW w:type="dxa" w:w="166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Recall@K</w:t>
            </w:r>
          </w:p>
        </w:tc>
        <w:tc>
          <w:tcPr>
            <w:tcW w:type="dxa" w:w="166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Lift@K</w:t>
            </w:r>
          </w:p>
        </w:tc>
        <w:tc>
          <w:tcPr>
            <w:tcW w:type="dxa" w:w="166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Brier</w:t>
            </w:r>
          </w:p>
        </w:tc>
      </w:tr>
      <w:tr>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Coverage</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0.941</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0.833</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0.476</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4.683</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0.103</w:t>
            </w:r>
          </w:p>
        </w:tc>
      </w:tr>
      <w:tr>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Socioeconomic</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0.981</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1.000</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0.571</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5.619</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0.076</w:t>
            </w:r>
          </w:p>
        </w:tc>
      </w:tr>
      <w:tr>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Nutrition</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0.981</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1.000</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0.571</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5.619</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0.078</w:t>
            </w:r>
          </w:p>
        </w:tc>
      </w:tr>
      <w:tr>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Food system</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0.981</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1.000</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0.571</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5.619</w:t>
            </w:r>
          </w:p>
        </w:tc>
        <w:tc>
          <w:tcPr>
            <w:tcW w:type="dxa" w:w="1666"/>
            <w:tcMar>
              <w:top w:w="80" w:type="dxa"/>
              <w:start w:w="90" w:type="dxa"/>
              <w:bottom w:w="80" w:type="dxa"/>
              <w:end w:w="90" w:type="dxa"/>
            </w:tcMar>
            <w:vAlign w:val="center"/>
          </w:tcPr>
          <w:p>
            <w:pPr>
              <w:spacing w:after="0"/>
            </w:pPr>
            <w:r>
              <w:rPr>
                <w:rFonts w:ascii="Times New Roman" w:hAnsi="Times New Roman" w:eastAsia="Times New Roman"/>
                <w:sz w:val="16"/>
              </w:rPr>
              <w:t>0.075</w:t>
            </w:r>
          </w:p>
        </w:tc>
      </w:tr>
    </w:tbl>
    <w:p/>
    <w:p>
      <w:pPr>
        <w:spacing w:after="120" w:line="259" w:lineRule="auto"/>
      </w:pPr>
      <w:r>
        <w:rPr>
          <w:rFonts w:ascii="Times New Roman" w:hAnsi="Times New Roman" w:eastAsia="Times New Roman"/>
          <w:sz w:val="22"/>
        </w:rPr>
        <w:t>Baseline acak menunjukkan batas bawah performa ranking. Weighted index baseline menguji apakah formula transparan saja sudah cukup. StumpBoost Ranker dipakai untuk menangkap interaksi non-linear sederhana antarfitur tanpa mengorbankan replikasi.</w:t>
      </w:r>
    </w:p>
    <w:p>
      <w:pPr>
        <w:keepNext/>
        <w:spacing w:before="240" w:after="80"/>
      </w:pPr>
      <w:r>
        <w:rPr>
          <w:rFonts w:ascii="Times New Roman" w:hAnsi="Times New Roman" w:eastAsia="Times New Roman"/>
          <w:b/>
          <w:color w:val="12343B"/>
          <w:sz w:val="28"/>
        </w:rPr>
        <w:t>6. Hasil dan Analisis</w:t>
      </w:r>
    </w:p>
    <w:p>
      <w:pPr>
        <w:keepNext/>
      </w:pPr>
      <w:r>
        <w:rPr>
          <w:rFonts w:ascii="Times New Roman" w:hAnsi="Times New Roman" w:eastAsia="Times New Roman"/>
          <w:b/>
          <w:color w:val="12343B"/>
          <w:sz w:val="18"/>
        </w:rPr>
        <w:t>Tabel 6. Sepuluh kabupaten/kota prioritas tertinggi.</w:t>
      </w:r>
    </w:p>
    <w:tbl>
      <w:tblPr>
        <w:tblStyle w:val="TableGrid"/>
        <w:tblW w:type="auto" w:w="0"/>
        <w:tblLayout w:type="autofit"/>
        <w:tblLook w:firstColumn="1" w:firstRow="1" w:lastColumn="0" w:lastRow="0" w:noHBand="0" w:noVBand="1" w:val="04A0"/>
      </w:tblPr>
      <w:tblGrid>
        <w:gridCol w:w="1999"/>
        <w:gridCol w:w="1999"/>
        <w:gridCol w:w="1999"/>
        <w:gridCol w:w="1999"/>
        <w:gridCol w:w="1999"/>
      </w:tblGrid>
      <w:tr>
        <w:tc>
          <w:tcPr>
            <w:tcW w:type="dxa" w:w="648"/>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rank</w:t>
            </w:r>
          </w:p>
        </w:tc>
        <w:tc>
          <w:tcPr>
            <w:tcW w:type="dxa" w:w="165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district</w:t>
            </w:r>
          </w:p>
        </w:tc>
        <w:tc>
          <w:tcPr>
            <w:tcW w:type="dxa" w:w="1512"/>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province</w:t>
            </w:r>
          </w:p>
        </w:tc>
        <w:tc>
          <w:tcPr>
            <w:tcW w:type="dxa" w:w="1152"/>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final_priority_score</w:t>
            </w:r>
          </w:p>
        </w:tc>
        <w:tc>
          <w:tcPr>
            <w:tcW w:type="dxa" w:w="3888"/>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alasan_ringkas</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1</w:t>
            </w:r>
          </w:p>
        </w:tc>
        <w:tc>
          <w:tcPr>
            <w:tcW w:type="dxa" w:w="1656"/>
            <w:tcMar>
              <w:top w:w="80" w:type="dxa"/>
              <w:start w:w="90" w:type="dxa"/>
              <w:bottom w:w="80" w:type="dxa"/>
              <w:end w:w="90" w:type="dxa"/>
            </w:tcMar>
            <w:vAlign w:val="center"/>
          </w:tcPr>
          <w:p>
            <w:pPr>
              <w:spacing w:after="0"/>
            </w:pPr>
            <w:r>
              <w:rPr>
                <w:rFonts w:ascii="Times New Roman" w:hAnsi="Times New Roman" w:eastAsia="Times New Roman"/>
                <w:sz w:val="16"/>
              </w:rPr>
              <w:t>Kab. Mamberamo Raya</w:t>
            </w:r>
          </w:p>
        </w:tc>
        <w:tc>
          <w:tcPr>
            <w:tcW w:type="dxa" w:w="1512"/>
            <w:tcMar>
              <w:top w:w="80" w:type="dxa"/>
              <w:start w:w="90" w:type="dxa"/>
              <w:bottom w:w="80" w:type="dxa"/>
              <w:end w:w="90" w:type="dxa"/>
            </w:tcMar>
            <w:vAlign w:val="center"/>
          </w:tcPr>
          <w:p>
            <w:pPr>
              <w:spacing w:after="0"/>
            </w:pPr>
            <w:r>
              <w:rPr>
                <w:rFonts w:ascii="Times New Roman" w:hAnsi="Times New Roman" w:eastAsia="Times New Roman"/>
                <w:sz w:val="16"/>
              </w:rPr>
              <w:t>Papua</w:t>
            </w:r>
          </w:p>
        </w:tc>
        <w:tc>
          <w:tcPr>
            <w:tcW w:type="dxa" w:w="1152"/>
            <w:tcMar>
              <w:top w:w="80" w:type="dxa"/>
              <w:start w:w="90" w:type="dxa"/>
              <w:bottom w:w="80" w:type="dxa"/>
              <w:end w:w="90" w:type="dxa"/>
            </w:tcMar>
            <w:vAlign w:val="center"/>
          </w:tcPr>
          <w:p>
            <w:pPr>
              <w:spacing w:after="0"/>
            </w:pPr>
            <w:r>
              <w:rPr>
                <w:rFonts w:ascii="Times New Roman" w:hAnsi="Times New Roman" w:eastAsia="Times New Roman"/>
                <w:sz w:val="16"/>
              </w:rPr>
              <w:t>0.706</w:t>
            </w:r>
          </w:p>
        </w:tc>
        <w:tc>
          <w:tcPr>
            <w:tcW w:type="dxa" w:w="3888"/>
            <w:tcMar>
              <w:top w:w="80" w:type="dxa"/>
              <w:start w:w="90" w:type="dxa"/>
              <w:bottom w:w="80" w:type="dxa"/>
              <w:end w:w="90" w:type="dxa"/>
            </w:tcMar>
            <w:vAlign w:val="center"/>
          </w:tcPr>
          <w:p>
            <w:pPr>
              <w:spacing w:after="0"/>
            </w:pPr>
            <w:r>
              <w:rPr>
                <w:rFonts w:ascii="Times New Roman" w:hAnsi="Times New Roman" w:eastAsia="Times New Roman"/>
                <w:sz w:val="16"/>
              </w:rPr>
              <w:t>kepadatan SPPG rendah relatif terhadap penerima; kerentanan pangan struktural tinggi</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2</w:t>
            </w:r>
          </w:p>
        </w:tc>
        <w:tc>
          <w:tcPr>
            <w:tcW w:type="dxa" w:w="1656"/>
            <w:tcMar>
              <w:top w:w="80" w:type="dxa"/>
              <w:start w:w="90" w:type="dxa"/>
              <w:bottom w:w="80" w:type="dxa"/>
              <w:end w:w="90" w:type="dxa"/>
            </w:tcMar>
            <w:vAlign w:val="center"/>
          </w:tcPr>
          <w:p>
            <w:pPr>
              <w:spacing w:after="0"/>
            </w:pPr>
            <w:r>
              <w:rPr>
                <w:rFonts w:ascii="Times New Roman" w:hAnsi="Times New Roman" w:eastAsia="Times New Roman"/>
                <w:sz w:val="16"/>
              </w:rPr>
              <w:t>Kota Subulussalam</w:t>
            </w:r>
          </w:p>
        </w:tc>
        <w:tc>
          <w:tcPr>
            <w:tcW w:type="dxa" w:w="1512"/>
            <w:tcMar>
              <w:top w:w="80" w:type="dxa"/>
              <w:start w:w="90" w:type="dxa"/>
              <w:bottom w:w="80" w:type="dxa"/>
              <w:end w:w="90" w:type="dxa"/>
            </w:tcMar>
            <w:vAlign w:val="center"/>
          </w:tcPr>
          <w:p>
            <w:pPr>
              <w:spacing w:after="0"/>
            </w:pPr>
            <w:r>
              <w:rPr>
                <w:rFonts w:ascii="Times New Roman" w:hAnsi="Times New Roman" w:eastAsia="Times New Roman"/>
                <w:sz w:val="16"/>
              </w:rPr>
              <w:t>Aceh</w:t>
            </w:r>
          </w:p>
        </w:tc>
        <w:tc>
          <w:tcPr>
            <w:tcW w:type="dxa" w:w="1152"/>
            <w:tcMar>
              <w:top w:w="80" w:type="dxa"/>
              <w:start w:w="90" w:type="dxa"/>
              <w:bottom w:w="80" w:type="dxa"/>
              <w:end w:w="90" w:type="dxa"/>
            </w:tcMar>
            <w:vAlign w:val="center"/>
          </w:tcPr>
          <w:p>
            <w:pPr>
              <w:spacing w:after="0"/>
            </w:pPr>
            <w:r>
              <w:rPr>
                <w:rFonts w:ascii="Times New Roman" w:hAnsi="Times New Roman" w:eastAsia="Times New Roman"/>
                <w:sz w:val="16"/>
              </w:rPr>
              <w:t>0.655</w:t>
            </w:r>
          </w:p>
        </w:tc>
        <w:tc>
          <w:tcPr>
            <w:tcW w:type="dxa" w:w="3888"/>
            <w:tcMar>
              <w:top w:w="80" w:type="dxa"/>
              <w:start w:w="90" w:type="dxa"/>
              <w:bottom w:w="80" w:type="dxa"/>
              <w:end w:w="90" w:type="dxa"/>
            </w:tcMar>
            <w:vAlign w:val="center"/>
          </w:tcPr>
          <w:p>
            <w:pPr>
              <w:spacing w:after="0"/>
            </w:pPr>
            <w:r>
              <w:rPr>
                <w:rFonts w:ascii="Times New Roman" w:hAnsi="Times New Roman" w:eastAsia="Times New Roman"/>
                <w:sz w:val="16"/>
              </w:rPr>
              <w:t>kepadatan SPPG rendah relatif terhadap penerima; gap cakupan dan dukungan tinggi</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3</w:t>
            </w:r>
          </w:p>
        </w:tc>
        <w:tc>
          <w:tcPr>
            <w:tcW w:type="dxa" w:w="1656"/>
            <w:tcMar>
              <w:top w:w="80" w:type="dxa"/>
              <w:start w:w="90" w:type="dxa"/>
              <w:bottom w:w="80" w:type="dxa"/>
              <w:end w:w="90" w:type="dxa"/>
            </w:tcMar>
            <w:vAlign w:val="center"/>
          </w:tcPr>
          <w:p>
            <w:pPr>
              <w:spacing w:after="0"/>
            </w:pPr>
            <w:r>
              <w:rPr>
                <w:rFonts w:ascii="Times New Roman" w:hAnsi="Times New Roman" w:eastAsia="Times New Roman"/>
                <w:sz w:val="16"/>
              </w:rPr>
              <w:t>Kab. Biak Numfor</w:t>
            </w:r>
          </w:p>
        </w:tc>
        <w:tc>
          <w:tcPr>
            <w:tcW w:type="dxa" w:w="1512"/>
            <w:tcMar>
              <w:top w:w="80" w:type="dxa"/>
              <w:start w:w="90" w:type="dxa"/>
              <w:bottom w:w="80" w:type="dxa"/>
              <w:end w:w="90" w:type="dxa"/>
            </w:tcMar>
            <w:vAlign w:val="center"/>
          </w:tcPr>
          <w:p>
            <w:pPr>
              <w:spacing w:after="0"/>
            </w:pPr>
            <w:r>
              <w:rPr>
                <w:rFonts w:ascii="Times New Roman" w:hAnsi="Times New Roman" w:eastAsia="Times New Roman"/>
                <w:sz w:val="16"/>
              </w:rPr>
              <w:t>Papua</w:t>
            </w:r>
          </w:p>
        </w:tc>
        <w:tc>
          <w:tcPr>
            <w:tcW w:type="dxa" w:w="1152"/>
            <w:tcMar>
              <w:top w:w="80" w:type="dxa"/>
              <w:start w:w="90" w:type="dxa"/>
              <w:bottom w:w="80" w:type="dxa"/>
              <w:end w:w="90" w:type="dxa"/>
            </w:tcMar>
            <w:vAlign w:val="center"/>
          </w:tcPr>
          <w:p>
            <w:pPr>
              <w:spacing w:after="0"/>
            </w:pPr>
            <w:r>
              <w:rPr>
                <w:rFonts w:ascii="Times New Roman" w:hAnsi="Times New Roman" w:eastAsia="Times New Roman"/>
                <w:sz w:val="16"/>
              </w:rPr>
              <w:t>0.647</w:t>
            </w:r>
          </w:p>
        </w:tc>
        <w:tc>
          <w:tcPr>
            <w:tcW w:type="dxa" w:w="3888"/>
            <w:tcMar>
              <w:top w:w="80" w:type="dxa"/>
              <w:start w:w="90" w:type="dxa"/>
              <w:bottom w:w="80" w:type="dxa"/>
              <w:end w:w="90" w:type="dxa"/>
            </w:tcMar>
            <w:vAlign w:val="center"/>
          </w:tcPr>
          <w:p>
            <w:pPr>
              <w:spacing w:after="0"/>
            </w:pPr>
            <w:r>
              <w:rPr>
                <w:rFonts w:ascii="Times New Roman" w:hAnsi="Times New Roman" w:eastAsia="Times New Roman"/>
                <w:sz w:val="16"/>
              </w:rPr>
              <w:t>kepadatan SPPG rendah relatif terhadap penerima; gap cakupan dan dukungan tinggi</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4</w:t>
            </w:r>
          </w:p>
        </w:tc>
        <w:tc>
          <w:tcPr>
            <w:tcW w:type="dxa" w:w="1656"/>
            <w:tcMar>
              <w:top w:w="80" w:type="dxa"/>
              <w:start w:w="90" w:type="dxa"/>
              <w:bottom w:w="80" w:type="dxa"/>
              <w:end w:w="90" w:type="dxa"/>
            </w:tcMar>
            <w:vAlign w:val="center"/>
          </w:tcPr>
          <w:p>
            <w:pPr>
              <w:spacing w:after="0"/>
            </w:pPr>
            <w:r>
              <w:rPr>
                <w:rFonts w:ascii="Times New Roman" w:hAnsi="Times New Roman" w:eastAsia="Times New Roman"/>
                <w:sz w:val="16"/>
              </w:rPr>
              <w:t>Kab. Kepulauan Aru</w:t>
            </w:r>
          </w:p>
        </w:tc>
        <w:tc>
          <w:tcPr>
            <w:tcW w:type="dxa" w:w="1512"/>
            <w:tcMar>
              <w:top w:w="80" w:type="dxa"/>
              <w:start w:w="90" w:type="dxa"/>
              <w:bottom w:w="80" w:type="dxa"/>
              <w:end w:w="90" w:type="dxa"/>
            </w:tcMar>
            <w:vAlign w:val="center"/>
          </w:tcPr>
          <w:p>
            <w:pPr>
              <w:spacing w:after="0"/>
            </w:pPr>
            <w:r>
              <w:rPr>
                <w:rFonts w:ascii="Times New Roman" w:hAnsi="Times New Roman" w:eastAsia="Times New Roman"/>
                <w:sz w:val="16"/>
              </w:rPr>
              <w:t>Maluku</w:t>
            </w:r>
          </w:p>
        </w:tc>
        <w:tc>
          <w:tcPr>
            <w:tcW w:type="dxa" w:w="1152"/>
            <w:tcMar>
              <w:top w:w="80" w:type="dxa"/>
              <w:start w:w="90" w:type="dxa"/>
              <w:bottom w:w="80" w:type="dxa"/>
              <w:end w:w="90" w:type="dxa"/>
            </w:tcMar>
            <w:vAlign w:val="center"/>
          </w:tcPr>
          <w:p>
            <w:pPr>
              <w:spacing w:after="0"/>
            </w:pPr>
            <w:r>
              <w:rPr>
                <w:rFonts w:ascii="Times New Roman" w:hAnsi="Times New Roman" w:eastAsia="Times New Roman"/>
                <w:sz w:val="16"/>
              </w:rPr>
              <w:t>0.646</w:t>
            </w:r>
          </w:p>
        </w:tc>
        <w:tc>
          <w:tcPr>
            <w:tcW w:type="dxa" w:w="3888"/>
            <w:tcMar>
              <w:top w:w="80" w:type="dxa"/>
              <w:start w:w="90" w:type="dxa"/>
              <w:bottom w:w="80" w:type="dxa"/>
              <w:end w:w="90" w:type="dxa"/>
            </w:tcMar>
            <w:vAlign w:val="center"/>
          </w:tcPr>
          <w:p>
            <w:pPr>
              <w:spacing w:after="0"/>
            </w:pPr>
            <w:r>
              <w:rPr>
                <w:rFonts w:ascii="Times New Roman" w:hAnsi="Times New Roman" w:eastAsia="Times New Roman"/>
                <w:sz w:val="16"/>
              </w:rPr>
              <w:t>kepadatan SPPG rendah relatif terhadap penerima; gap cakupan dan dukungan tinggi</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5</w:t>
            </w:r>
          </w:p>
        </w:tc>
        <w:tc>
          <w:tcPr>
            <w:tcW w:type="dxa" w:w="1656"/>
            <w:tcMar>
              <w:top w:w="80" w:type="dxa"/>
              <w:start w:w="90" w:type="dxa"/>
              <w:bottom w:w="80" w:type="dxa"/>
              <w:end w:w="90" w:type="dxa"/>
            </w:tcMar>
            <w:vAlign w:val="center"/>
          </w:tcPr>
          <w:p>
            <w:pPr>
              <w:spacing w:after="0"/>
            </w:pPr>
            <w:r>
              <w:rPr>
                <w:rFonts w:ascii="Times New Roman" w:hAnsi="Times New Roman" w:eastAsia="Times New Roman"/>
                <w:sz w:val="16"/>
              </w:rPr>
              <w:t>Kab. Keerom</w:t>
            </w:r>
          </w:p>
        </w:tc>
        <w:tc>
          <w:tcPr>
            <w:tcW w:type="dxa" w:w="1512"/>
            <w:tcMar>
              <w:top w:w="80" w:type="dxa"/>
              <w:start w:w="90" w:type="dxa"/>
              <w:bottom w:w="80" w:type="dxa"/>
              <w:end w:w="90" w:type="dxa"/>
            </w:tcMar>
            <w:vAlign w:val="center"/>
          </w:tcPr>
          <w:p>
            <w:pPr>
              <w:spacing w:after="0"/>
            </w:pPr>
            <w:r>
              <w:rPr>
                <w:rFonts w:ascii="Times New Roman" w:hAnsi="Times New Roman" w:eastAsia="Times New Roman"/>
                <w:sz w:val="16"/>
              </w:rPr>
              <w:t>Papua</w:t>
            </w:r>
          </w:p>
        </w:tc>
        <w:tc>
          <w:tcPr>
            <w:tcW w:type="dxa" w:w="1152"/>
            <w:tcMar>
              <w:top w:w="80" w:type="dxa"/>
              <w:start w:w="90" w:type="dxa"/>
              <w:bottom w:w="80" w:type="dxa"/>
              <w:end w:w="90" w:type="dxa"/>
            </w:tcMar>
            <w:vAlign w:val="center"/>
          </w:tcPr>
          <w:p>
            <w:pPr>
              <w:spacing w:after="0"/>
            </w:pPr>
            <w:r>
              <w:rPr>
                <w:rFonts w:ascii="Times New Roman" w:hAnsi="Times New Roman" w:eastAsia="Times New Roman"/>
                <w:sz w:val="16"/>
              </w:rPr>
              <w:t>0.640</w:t>
            </w:r>
          </w:p>
        </w:tc>
        <w:tc>
          <w:tcPr>
            <w:tcW w:type="dxa" w:w="3888"/>
            <w:tcMar>
              <w:top w:w="80" w:type="dxa"/>
              <w:start w:w="90" w:type="dxa"/>
              <w:bottom w:w="80" w:type="dxa"/>
              <w:end w:w="90" w:type="dxa"/>
            </w:tcMar>
            <w:vAlign w:val="center"/>
          </w:tcPr>
          <w:p>
            <w:pPr>
              <w:spacing w:after="0"/>
            </w:pPr>
            <w:r>
              <w:rPr>
                <w:rFonts w:ascii="Times New Roman" w:hAnsi="Times New Roman" w:eastAsia="Times New Roman"/>
                <w:sz w:val="16"/>
              </w:rPr>
              <w:t>kepadatan SPPG rendah relatif terhadap penerima; gap cakupan dan dukungan tinggi</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6</w:t>
            </w:r>
          </w:p>
        </w:tc>
        <w:tc>
          <w:tcPr>
            <w:tcW w:type="dxa" w:w="1656"/>
            <w:tcMar>
              <w:top w:w="80" w:type="dxa"/>
              <w:start w:w="90" w:type="dxa"/>
              <w:bottom w:w="80" w:type="dxa"/>
              <w:end w:w="90" w:type="dxa"/>
            </w:tcMar>
            <w:vAlign w:val="center"/>
          </w:tcPr>
          <w:p>
            <w:pPr>
              <w:spacing w:after="0"/>
            </w:pPr>
            <w:r>
              <w:rPr>
                <w:rFonts w:ascii="Times New Roman" w:hAnsi="Times New Roman" w:eastAsia="Times New Roman"/>
                <w:sz w:val="16"/>
              </w:rPr>
              <w:t>Kab. Maluku Tenggara</w:t>
            </w:r>
          </w:p>
        </w:tc>
        <w:tc>
          <w:tcPr>
            <w:tcW w:type="dxa" w:w="1512"/>
            <w:tcMar>
              <w:top w:w="80" w:type="dxa"/>
              <w:start w:w="90" w:type="dxa"/>
              <w:bottom w:w="80" w:type="dxa"/>
              <w:end w:w="90" w:type="dxa"/>
            </w:tcMar>
            <w:vAlign w:val="center"/>
          </w:tcPr>
          <w:p>
            <w:pPr>
              <w:spacing w:after="0"/>
            </w:pPr>
            <w:r>
              <w:rPr>
                <w:rFonts w:ascii="Times New Roman" w:hAnsi="Times New Roman" w:eastAsia="Times New Roman"/>
                <w:sz w:val="16"/>
              </w:rPr>
              <w:t>Maluku</w:t>
            </w:r>
          </w:p>
        </w:tc>
        <w:tc>
          <w:tcPr>
            <w:tcW w:type="dxa" w:w="1152"/>
            <w:tcMar>
              <w:top w:w="80" w:type="dxa"/>
              <w:start w:w="90" w:type="dxa"/>
              <w:bottom w:w="80" w:type="dxa"/>
              <w:end w:w="90" w:type="dxa"/>
            </w:tcMar>
            <w:vAlign w:val="center"/>
          </w:tcPr>
          <w:p>
            <w:pPr>
              <w:spacing w:after="0"/>
            </w:pPr>
            <w:r>
              <w:rPr>
                <w:rFonts w:ascii="Times New Roman" w:hAnsi="Times New Roman" w:eastAsia="Times New Roman"/>
                <w:sz w:val="16"/>
              </w:rPr>
              <w:t>0.640</w:t>
            </w:r>
          </w:p>
        </w:tc>
        <w:tc>
          <w:tcPr>
            <w:tcW w:type="dxa" w:w="3888"/>
            <w:tcMar>
              <w:top w:w="80" w:type="dxa"/>
              <w:start w:w="90" w:type="dxa"/>
              <w:bottom w:w="80" w:type="dxa"/>
              <w:end w:w="90" w:type="dxa"/>
            </w:tcMar>
            <w:vAlign w:val="center"/>
          </w:tcPr>
          <w:p>
            <w:pPr>
              <w:spacing w:after="0"/>
            </w:pPr>
            <w:r>
              <w:rPr>
                <w:rFonts w:ascii="Times New Roman" w:hAnsi="Times New Roman" w:eastAsia="Times New Roman"/>
                <w:sz w:val="16"/>
              </w:rPr>
              <w:t>kepadatan SPPG rendah relatif terhadap penerima; gap cakupan dan dukungan tinggi</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7</w:t>
            </w:r>
          </w:p>
        </w:tc>
        <w:tc>
          <w:tcPr>
            <w:tcW w:type="dxa" w:w="1656"/>
            <w:tcMar>
              <w:top w:w="80" w:type="dxa"/>
              <w:start w:w="90" w:type="dxa"/>
              <w:bottom w:w="80" w:type="dxa"/>
              <w:end w:w="90" w:type="dxa"/>
            </w:tcMar>
            <w:vAlign w:val="center"/>
          </w:tcPr>
          <w:p>
            <w:pPr>
              <w:spacing w:after="0"/>
            </w:pPr>
            <w:r>
              <w:rPr>
                <w:rFonts w:ascii="Times New Roman" w:hAnsi="Times New Roman" w:eastAsia="Times New Roman"/>
                <w:sz w:val="16"/>
              </w:rPr>
              <w:t>Kab. Kaimana</w:t>
            </w:r>
          </w:p>
        </w:tc>
        <w:tc>
          <w:tcPr>
            <w:tcW w:type="dxa" w:w="1512"/>
            <w:tcMar>
              <w:top w:w="80" w:type="dxa"/>
              <w:start w:w="90" w:type="dxa"/>
              <w:bottom w:w="80" w:type="dxa"/>
              <w:end w:w="90" w:type="dxa"/>
            </w:tcMar>
            <w:vAlign w:val="center"/>
          </w:tcPr>
          <w:p>
            <w:pPr>
              <w:spacing w:after="0"/>
            </w:pPr>
            <w:r>
              <w:rPr>
                <w:rFonts w:ascii="Times New Roman" w:hAnsi="Times New Roman" w:eastAsia="Times New Roman"/>
                <w:sz w:val="16"/>
              </w:rPr>
              <w:t>Papua Barat</w:t>
            </w:r>
          </w:p>
        </w:tc>
        <w:tc>
          <w:tcPr>
            <w:tcW w:type="dxa" w:w="1152"/>
            <w:tcMar>
              <w:top w:w="80" w:type="dxa"/>
              <w:start w:w="90" w:type="dxa"/>
              <w:bottom w:w="80" w:type="dxa"/>
              <w:end w:w="90" w:type="dxa"/>
            </w:tcMar>
            <w:vAlign w:val="center"/>
          </w:tcPr>
          <w:p>
            <w:pPr>
              <w:spacing w:after="0"/>
            </w:pPr>
            <w:r>
              <w:rPr>
                <w:rFonts w:ascii="Times New Roman" w:hAnsi="Times New Roman" w:eastAsia="Times New Roman"/>
                <w:sz w:val="16"/>
              </w:rPr>
              <w:t>0.636</w:t>
            </w:r>
          </w:p>
        </w:tc>
        <w:tc>
          <w:tcPr>
            <w:tcW w:type="dxa" w:w="3888"/>
            <w:tcMar>
              <w:top w:w="80" w:type="dxa"/>
              <w:start w:w="90" w:type="dxa"/>
              <w:bottom w:w="80" w:type="dxa"/>
              <w:end w:w="90" w:type="dxa"/>
            </w:tcMar>
            <w:vAlign w:val="center"/>
          </w:tcPr>
          <w:p>
            <w:pPr>
              <w:spacing w:after="0"/>
            </w:pPr>
            <w:r>
              <w:rPr>
                <w:rFonts w:ascii="Times New Roman" w:hAnsi="Times New Roman" w:eastAsia="Times New Roman"/>
                <w:sz w:val="16"/>
              </w:rPr>
              <w:t>kepadatan SPPG rendah relatif terhadap penerima; gap cakupan dan dukungan tinggi</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8</w:t>
            </w:r>
          </w:p>
        </w:tc>
        <w:tc>
          <w:tcPr>
            <w:tcW w:type="dxa" w:w="1656"/>
            <w:tcMar>
              <w:top w:w="80" w:type="dxa"/>
              <w:start w:w="90" w:type="dxa"/>
              <w:bottom w:w="80" w:type="dxa"/>
              <w:end w:w="90" w:type="dxa"/>
            </w:tcMar>
            <w:vAlign w:val="center"/>
          </w:tcPr>
          <w:p>
            <w:pPr>
              <w:spacing w:after="0"/>
            </w:pPr>
            <w:r>
              <w:rPr>
                <w:rFonts w:ascii="Times New Roman" w:hAnsi="Times New Roman" w:eastAsia="Times New Roman"/>
                <w:sz w:val="16"/>
              </w:rPr>
              <w:t>Kab. Aceh Singkil</w:t>
            </w:r>
          </w:p>
        </w:tc>
        <w:tc>
          <w:tcPr>
            <w:tcW w:type="dxa" w:w="1512"/>
            <w:tcMar>
              <w:top w:w="80" w:type="dxa"/>
              <w:start w:w="90" w:type="dxa"/>
              <w:bottom w:w="80" w:type="dxa"/>
              <w:end w:w="90" w:type="dxa"/>
            </w:tcMar>
            <w:vAlign w:val="center"/>
          </w:tcPr>
          <w:p>
            <w:pPr>
              <w:spacing w:after="0"/>
            </w:pPr>
            <w:r>
              <w:rPr>
                <w:rFonts w:ascii="Times New Roman" w:hAnsi="Times New Roman" w:eastAsia="Times New Roman"/>
                <w:sz w:val="16"/>
              </w:rPr>
              <w:t>Aceh</w:t>
            </w:r>
          </w:p>
        </w:tc>
        <w:tc>
          <w:tcPr>
            <w:tcW w:type="dxa" w:w="1152"/>
            <w:tcMar>
              <w:top w:w="80" w:type="dxa"/>
              <w:start w:w="90" w:type="dxa"/>
              <w:bottom w:w="80" w:type="dxa"/>
              <w:end w:w="90" w:type="dxa"/>
            </w:tcMar>
            <w:vAlign w:val="center"/>
          </w:tcPr>
          <w:p>
            <w:pPr>
              <w:spacing w:after="0"/>
            </w:pPr>
            <w:r>
              <w:rPr>
                <w:rFonts w:ascii="Times New Roman" w:hAnsi="Times New Roman" w:eastAsia="Times New Roman"/>
                <w:sz w:val="16"/>
              </w:rPr>
              <w:t>0.633</w:t>
            </w:r>
          </w:p>
        </w:tc>
        <w:tc>
          <w:tcPr>
            <w:tcW w:type="dxa" w:w="3888"/>
            <w:tcMar>
              <w:top w:w="80" w:type="dxa"/>
              <w:start w:w="90" w:type="dxa"/>
              <w:bottom w:w="80" w:type="dxa"/>
              <w:end w:w="90" w:type="dxa"/>
            </w:tcMar>
            <w:vAlign w:val="center"/>
          </w:tcPr>
          <w:p>
            <w:pPr>
              <w:spacing w:after="0"/>
            </w:pPr>
            <w:r>
              <w:rPr>
                <w:rFonts w:ascii="Times New Roman" w:hAnsi="Times New Roman" w:eastAsia="Times New Roman"/>
                <w:sz w:val="16"/>
              </w:rPr>
              <w:t>kepadatan SPPG rendah relatif terhadap penerima; tekanan harga pangan tinggi</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9</w:t>
            </w:r>
          </w:p>
        </w:tc>
        <w:tc>
          <w:tcPr>
            <w:tcW w:type="dxa" w:w="1656"/>
            <w:tcMar>
              <w:top w:w="80" w:type="dxa"/>
              <w:start w:w="90" w:type="dxa"/>
              <w:bottom w:w="80" w:type="dxa"/>
              <w:end w:w="90" w:type="dxa"/>
            </w:tcMar>
            <w:vAlign w:val="center"/>
          </w:tcPr>
          <w:p>
            <w:pPr>
              <w:spacing w:after="0"/>
            </w:pPr>
            <w:r>
              <w:rPr>
                <w:rFonts w:ascii="Times New Roman" w:hAnsi="Times New Roman" w:eastAsia="Times New Roman"/>
                <w:sz w:val="16"/>
              </w:rPr>
              <w:t>Kab. Sumba Barat Daya</w:t>
            </w:r>
          </w:p>
        </w:tc>
        <w:tc>
          <w:tcPr>
            <w:tcW w:type="dxa" w:w="1512"/>
            <w:tcMar>
              <w:top w:w="80" w:type="dxa"/>
              <w:start w:w="90" w:type="dxa"/>
              <w:bottom w:w="80" w:type="dxa"/>
              <w:end w:w="90" w:type="dxa"/>
            </w:tcMar>
            <w:vAlign w:val="center"/>
          </w:tcPr>
          <w:p>
            <w:pPr>
              <w:spacing w:after="0"/>
            </w:pPr>
            <w:r>
              <w:rPr>
                <w:rFonts w:ascii="Times New Roman" w:hAnsi="Times New Roman" w:eastAsia="Times New Roman"/>
                <w:sz w:val="16"/>
              </w:rPr>
              <w:t>Nusa Tenggara Timur</w:t>
            </w:r>
          </w:p>
        </w:tc>
        <w:tc>
          <w:tcPr>
            <w:tcW w:type="dxa" w:w="1152"/>
            <w:tcMar>
              <w:top w:w="80" w:type="dxa"/>
              <w:start w:w="90" w:type="dxa"/>
              <w:bottom w:w="80" w:type="dxa"/>
              <w:end w:w="90" w:type="dxa"/>
            </w:tcMar>
            <w:vAlign w:val="center"/>
          </w:tcPr>
          <w:p>
            <w:pPr>
              <w:spacing w:after="0"/>
            </w:pPr>
            <w:r>
              <w:rPr>
                <w:rFonts w:ascii="Times New Roman" w:hAnsi="Times New Roman" w:eastAsia="Times New Roman"/>
                <w:sz w:val="16"/>
              </w:rPr>
              <w:t>0.632</w:t>
            </w:r>
          </w:p>
        </w:tc>
        <w:tc>
          <w:tcPr>
            <w:tcW w:type="dxa" w:w="3888"/>
            <w:tcMar>
              <w:top w:w="80" w:type="dxa"/>
              <w:start w:w="90" w:type="dxa"/>
              <w:bottom w:w="80" w:type="dxa"/>
              <w:end w:w="90" w:type="dxa"/>
            </w:tcMar>
            <w:vAlign w:val="center"/>
          </w:tcPr>
          <w:p>
            <w:pPr>
              <w:spacing w:after="0"/>
            </w:pPr>
            <w:r>
              <w:rPr>
                <w:rFonts w:ascii="Times New Roman" w:hAnsi="Times New Roman" w:eastAsia="Times New Roman"/>
                <w:sz w:val="16"/>
              </w:rPr>
              <w:t>kepadatan SPPG rendah relatif terhadap penerima; gap cakupan dan dukungan tinggi</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10</w:t>
            </w:r>
          </w:p>
        </w:tc>
        <w:tc>
          <w:tcPr>
            <w:tcW w:type="dxa" w:w="1656"/>
            <w:tcMar>
              <w:top w:w="80" w:type="dxa"/>
              <w:start w:w="90" w:type="dxa"/>
              <w:bottom w:w="80" w:type="dxa"/>
              <w:end w:w="90" w:type="dxa"/>
            </w:tcMar>
            <w:vAlign w:val="center"/>
          </w:tcPr>
          <w:p>
            <w:pPr>
              <w:spacing w:after="0"/>
            </w:pPr>
            <w:r>
              <w:rPr>
                <w:rFonts w:ascii="Times New Roman" w:hAnsi="Times New Roman" w:eastAsia="Times New Roman"/>
                <w:sz w:val="16"/>
              </w:rPr>
              <w:t>Kota Tual</w:t>
            </w:r>
          </w:p>
        </w:tc>
        <w:tc>
          <w:tcPr>
            <w:tcW w:type="dxa" w:w="1512"/>
            <w:tcMar>
              <w:top w:w="80" w:type="dxa"/>
              <w:start w:w="90" w:type="dxa"/>
              <w:bottom w:w="80" w:type="dxa"/>
              <w:end w:w="90" w:type="dxa"/>
            </w:tcMar>
            <w:vAlign w:val="center"/>
          </w:tcPr>
          <w:p>
            <w:pPr>
              <w:spacing w:after="0"/>
            </w:pPr>
            <w:r>
              <w:rPr>
                <w:rFonts w:ascii="Times New Roman" w:hAnsi="Times New Roman" w:eastAsia="Times New Roman"/>
                <w:sz w:val="16"/>
              </w:rPr>
              <w:t>Maluku</w:t>
            </w:r>
          </w:p>
        </w:tc>
        <w:tc>
          <w:tcPr>
            <w:tcW w:type="dxa" w:w="1152"/>
            <w:tcMar>
              <w:top w:w="80" w:type="dxa"/>
              <w:start w:w="90" w:type="dxa"/>
              <w:bottom w:w="80" w:type="dxa"/>
              <w:end w:w="90" w:type="dxa"/>
            </w:tcMar>
            <w:vAlign w:val="center"/>
          </w:tcPr>
          <w:p>
            <w:pPr>
              <w:spacing w:after="0"/>
            </w:pPr>
            <w:r>
              <w:rPr>
                <w:rFonts w:ascii="Times New Roman" w:hAnsi="Times New Roman" w:eastAsia="Times New Roman"/>
                <w:sz w:val="16"/>
              </w:rPr>
              <w:t>0.622</w:t>
            </w:r>
          </w:p>
        </w:tc>
        <w:tc>
          <w:tcPr>
            <w:tcW w:type="dxa" w:w="3888"/>
            <w:tcMar>
              <w:top w:w="80" w:type="dxa"/>
              <w:start w:w="90" w:type="dxa"/>
              <w:bottom w:w="80" w:type="dxa"/>
              <w:end w:w="90" w:type="dxa"/>
            </w:tcMar>
            <w:vAlign w:val="center"/>
          </w:tcPr>
          <w:p>
            <w:pPr>
              <w:spacing w:after="0"/>
            </w:pPr>
            <w:r>
              <w:rPr>
                <w:rFonts w:ascii="Times New Roman" w:hAnsi="Times New Roman" w:eastAsia="Times New Roman"/>
                <w:sz w:val="16"/>
              </w:rPr>
              <w:t>kepadatan SPPG rendah relatif terhadap penerima; gap cakupan dan dukungan tinggi</w:t>
            </w:r>
          </w:p>
        </w:tc>
      </w:tr>
    </w:tbl>
    <w:p/>
    <w:p>
      <w:pPr>
        <w:keepNext/>
        <w:jc w:val="center"/>
      </w:pPr>
      <w:r>
        <w:drawing>
          <wp:inline xmlns:a="http://schemas.openxmlformats.org/drawingml/2006/main" xmlns:pic="http://schemas.openxmlformats.org/drawingml/2006/picture">
            <wp:extent cx="5669280" cy="3442063"/>
            <wp:docPr id="2" name="Picture 2"/>
            <wp:cNvGraphicFramePr>
              <a:graphicFrameLocks noChangeAspect="1"/>
            </wp:cNvGraphicFramePr>
            <a:graphic>
              <a:graphicData uri="http://schemas.openxmlformats.org/drawingml/2006/picture">
                <pic:pic>
                  <pic:nvPicPr>
                    <pic:cNvPr id="0" name="top_priority_districts.png"/>
                    <pic:cNvPicPr/>
                  </pic:nvPicPr>
                  <pic:blipFill>
                    <a:blip r:embed="rId10"/>
                    <a:stretch>
                      <a:fillRect/>
                    </a:stretch>
                  </pic:blipFill>
                  <pic:spPr>
                    <a:xfrm>
                      <a:off x="0" y="0"/>
                      <a:ext cx="5669280" cy="3442063"/>
                    </a:xfrm>
                    <a:prstGeom prst="rect"/>
                  </pic:spPr>
                </pic:pic>
              </a:graphicData>
            </a:graphic>
          </wp:inline>
        </w:drawing>
      </w:r>
    </w:p>
    <w:p>
      <w:pPr>
        <w:spacing w:after="140"/>
        <w:jc w:val="center"/>
      </w:pPr>
      <w:r>
        <w:rPr>
          <w:rFonts w:ascii="Times New Roman" w:hAnsi="Times New Roman" w:eastAsia="Times New Roman"/>
          <w:b w:val="0"/>
          <w:i/>
          <w:color w:val="465A62"/>
          <w:sz w:val="18"/>
        </w:rPr>
        <w:t>Gambar 2. Ranking prioritas tertinggi.</w:t>
      </w:r>
    </w:p>
    <w:p>
      <w:pPr>
        <w:keepNext/>
        <w:jc w:val="center"/>
      </w:pPr>
      <w:r>
        <w:drawing>
          <wp:inline xmlns:a="http://schemas.openxmlformats.org/drawingml/2006/main" xmlns:pic="http://schemas.openxmlformats.org/drawingml/2006/picture">
            <wp:extent cx="5669280" cy="3706837"/>
            <wp:docPr id="3" name="Picture 3"/>
            <wp:cNvGraphicFramePr>
              <a:graphicFrameLocks noChangeAspect="1"/>
            </wp:cNvGraphicFramePr>
            <a:graphic>
              <a:graphicData uri="http://schemas.openxmlformats.org/drawingml/2006/picture">
                <pic:pic>
                  <pic:nvPicPr>
                    <pic:cNvPr id="0" name="risk_quadrant.png"/>
                    <pic:cNvPicPr/>
                  </pic:nvPicPr>
                  <pic:blipFill>
                    <a:blip r:embed="rId11"/>
                    <a:stretch>
                      <a:fillRect/>
                    </a:stretch>
                  </pic:blipFill>
                  <pic:spPr>
                    <a:xfrm>
                      <a:off x="0" y="0"/>
                      <a:ext cx="5669280" cy="3706837"/>
                    </a:xfrm>
                    <a:prstGeom prst="rect"/>
                  </pic:spPr>
                </pic:pic>
              </a:graphicData>
            </a:graphic>
          </wp:inline>
        </w:drawing>
      </w:r>
    </w:p>
    <w:p>
      <w:pPr>
        <w:spacing w:after="140"/>
        <w:jc w:val="center"/>
      </w:pPr>
      <w:r>
        <w:rPr>
          <w:rFonts w:ascii="Times New Roman" w:hAnsi="Times New Roman" w:eastAsia="Times New Roman"/>
          <w:b w:val="0"/>
          <w:i/>
          <w:color w:val="465A62"/>
          <w:sz w:val="18"/>
        </w:rPr>
        <w:t>Gambar 3. Kuadran risiko berbasis nutrition need dan coverage gap.</w:t>
      </w:r>
    </w:p>
    <w:p>
      <w:pPr>
        <w:spacing w:after="120" w:line="259" w:lineRule="auto"/>
      </w:pPr>
      <w:r>
        <w:rPr>
          <w:rFonts w:ascii="Times New Roman" w:hAnsi="Times New Roman" w:eastAsia="Times New Roman"/>
          <w:sz w:val="22"/>
        </w:rPr>
        <w:t>Wilayah pada kuadran kanan-atas memiliki kombinasi kebutuhan tinggi dan gap dukungan tinggi. Bagian ini paling berguna untuk prioritas monitoring karena menunjukkan wilayah yang bukan hanya rentan, tetapi juga relatif belum seimbang dengan sinyal dukungan yang tersedia.</w:t>
      </w:r>
    </w:p>
    <w:p>
      <w:pPr>
        <w:keepNext/>
        <w:spacing w:before="240" w:after="80"/>
      </w:pPr>
      <w:r>
        <w:rPr>
          <w:rFonts w:ascii="Times New Roman" w:hAnsi="Times New Roman" w:eastAsia="Times New Roman"/>
          <w:b/>
          <w:color w:val="12343B"/>
          <w:sz w:val="28"/>
        </w:rPr>
        <w:t>7. Explainability dan TransferRisk</w:t>
      </w:r>
    </w:p>
    <w:p>
      <w:pPr>
        <w:keepNext/>
      </w:pPr>
      <w:r>
        <w:rPr>
          <w:rFonts w:ascii="Times New Roman" w:hAnsi="Times New Roman" w:eastAsia="Times New Roman"/>
          <w:b/>
          <w:color w:val="12343B"/>
          <w:sz w:val="18"/>
        </w:rPr>
        <w:t>Tabel 7. Feature importance model ranking.</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feature</w:t>
            </w:r>
          </w:p>
        </w:tc>
        <w:tc>
          <w:tcPr>
            <w:tcW w:type="dxa" w:w="3331"/>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family</w:t>
            </w:r>
          </w:p>
        </w:tc>
        <w:tc>
          <w:tcPr>
            <w:tcW w:type="dxa" w:w="3331"/>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importance</w:t>
            </w:r>
          </w:p>
        </w:tc>
      </w:tr>
      <w:tr>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coverage_gap</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Coverage</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0.766</w:t>
            </w:r>
          </w:p>
        </w:tc>
      </w:tr>
      <w:tr>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nutrition_need</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Nutrition</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0.149</w:t>
            </w:r>
          </w:p>
        </w:tc>
      </w:tr>
      <w:tr>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food_vulnerability</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Food system</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0.051</w:t>
            </w:r>
          </w:p>
        </w:tc>
      </w:tr>
      <w:tr>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socioeconomic_stress</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Socioeconomic</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0.034</w:t>
            </w:r>
          </w:p>
        </w:tc>
      </w:tr>
      <w:tr>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price_stress</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Food system</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0.000</w:t>
            </w:r>
          </w:p>
        </w:tc>
      </w:tr>
      <w:tr>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sppg_density_per_100k_beneficiaries</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Coverage</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0.000</w:t>
            </w:r>
          </w:p>
        </w:tc>
      </w:tr>
      <w:tr>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condition_rate_per_1000</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Nutrition</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0.000</w:t>
            </w:r>
          </w:p>
        </w:tc>
      </w:tr>
      <w:tr>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allergy_intolerance_rate_per_1000</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Nutrition</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0.000</w:t>
            </w:r>
          </w:p>
        </w:tc>
      </w:tr>
      <w:tr>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beneficiaries_per_satpen</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Coverage</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0.000</w:t>
            </w:r>
          </w:p>
        </w:tc>
      </w:tr>
      <w:tr>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support_reach</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Coverage</w:t>
            </w:r>
          </w:p>
        </w:tc>
        <w:tc>
          <w:tcPr>
            <w:tcW w:type="dxa" w:w="3331"/>
            <w:tcMar>
              <w:top w:w="80" w:type="dxa"/>
              <w:start w:w="90" w:type="dxa"/>
              <w:bottom w:w="80" w:type="dxa"/>
              <w:end w:w="90" w:type="dxa"/>
            </w:tcMar>
            <w:vAlign w:val="center"/>
          </w:tcPr>
          <w:p>
            <w:pPr>
              <w:spacing w:after="0"/>
            </w:pPr>
            <w:r>
              <w:rPr>
                <w:rFonts w:ascii="Times New Roman" w:hAnsi="Times New Roman" w:eastAsia="Times New Roman"/>
                <w:sz w:val="16"/>
              </w:rPr>
              <w:t>0.000</w:t>
            </w:r>
          </w:p>
        </w:tc>
      </w:tr>
    </w:tbl>
    <w:p/>
    <w:p>
      <w:pPr>
        <w:keepNext/>
        <w:jc w:val="center"/>
      </w:pPr>
      <w:r>
        <w:drawing>
          <wp:inline xmlns:a="http://schemas.openxmlformats.org/drawingml/2006/main" xmlns:pic="http://schemas.openxmlformats.org/drawingml/2006/picture">
            <wp:extent cx="5669280" cy="3442063"/>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669280" cy="3442063"/>
                    </a:xfrm>
                    <a:prstGeom prst="rect"/>
                  </pic:spPr>
                </pic:pic>
              </a:graphicData>
            </a:graphic>
          </wp:inline>
        </w:drawing>
      </w:r>
    </w:p>
    <w:p>
      <w:pPr>
        <w:spacing w:after="140"/>
        <w:jc w:val="center"/>
      </w:pPr>
      <w:r>
        <w:rPr>
          <w:rFonts w:ascii="Times New Roman" w:hAnsi="Times New Roman" w:eastAsia="Times New Roman"/>
          <w:b w:val="0"/>
          <w:i/>
          <w:color w:val="465A62"/>
          <w:sz w:val="18"/>
        </w:rPr>
        <w:t>Gambar 4. Kontribusi fitur utama.</w:t>
      </w:r>
    </w:p>
    <w:p>
      <w:r>
        <w:br w:type="page"/>
      </w:r>
    </w:p>
    <w:p>
      <w:pPr>
        <w:keepNext/>
      </w:pPr>
      <w:r>
        <w:rPr>
          <w:rFonts w:ascii="Times New Roman" w:hAnsi="Times New Roman" w:eastAsia="Times New Roman"/>
          <w:b/>
          <w:color w:val="12343B"/>
          <w:sz w:val="18"/>
        </w:rPr>
        <w:t>Tabel 8. Analisis TransferRisk dan subgroup.</w:t>
      </w:r>
    </w:p>
    <w:tbl>
      <w:tblPr>
        <w:tblStyle w:val="TableGrid"/>
        <w:tblW w:type="auto" w:w="0"/>
        <w:tblLayout w:type="autofit"/>
        <w:tblLook w:firstColumn="1" w:firstRow="1" w:lastColumn="0" w:lastRow="0" w:noHBand="0" w:noVBand="1" w:val="04A0"/>
      </w:tblPr>
      <w:tblGrid>
        <w:gridCol w:w="1999"/>
        <w:gridCol w:w="1999"/>
        <w:gridCol w:w="1999"/>
        <w:gridCol w:w="1999"/>
        <w:gridCol w:w="1999"/>
      </w:tblGrid>
      <w:tr>
        <w:tc>
          <w:tcPr>
            <w:tcW w:type="dxa" w:w="1999"/>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group</w:t>
            </w:r>
          </w:p>
        </w:tc>
        <w:tc>
          <w:tcPr>
            <w:tcW w:type="dxa" w:w="1999"/>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districts</w:t>
            </w:r>
          </w:p>
        </w:tc>
        <w:tc>
          <w:tcPr>
            <w:tcW w:type="dxa" w:w="1999"/>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mean_score</w:t>
            </w:r>
          </w:p>
        </w:tc>
        <w:tc>
          <w:tcPr>
            <w:tcW w:type="dxa" w:w="1999"/>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top10_share</w:t>
            </w:r>
          </w:p>
        </w:tc>
        <w:tc>
          <w:tcPr>
            <w:tcW w:type="dxa" w:w="1999"/>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mean_data_completeness</w:t>
            </w:r>
          </w:p>
        </w:tc>
      </w:tr>
      <w:tr>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Java</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119</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0.137</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0.000</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0.740</w:t>
            </w:r>
          </w:p>
        </w:tc>
      </w:tr>
      <w:tr>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Non-Java</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319</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0.269</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0.138</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0.726</w:t>
            </w:r>
          </w:p>
        </w:tc>
      </w:tr>
      <w:tr>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Eastern Indonesia</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130</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0.318</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0.238</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0.715</w:t>
            </w:r>
          </w:p>
        </w:tc>
      </w:tr>
      <w:tr>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Western/Central Indonesia</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308</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0.197</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0.042</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0.735</w:t>
            </w:r>
          </w:p>
        </w:tc>
      </w:tr>
      <w:tr>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Higher-data districts</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404</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0.230</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0.092</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0.750</w:t>
            </w:r>
          </w:p>
        </w:tc>
      </w:tr>
      <w:tr>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Lower-data districts</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34</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0.264</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0.206</w:t>
            </w:r>
          </w:p>
        </w:tc>
        <w:tc>
          <w:tcPr>
            <w:tcW w:type="dxa" w:w="1999"/>
            <w:tcMar>
              <w:top w:w="80" w:type="dxa"/>
              <w:start w:w="90" w:type="dxa"/>
              <w:bottom w:w="80" w:type="dxa"/>
              <w:end w:w="90" w:type="dxa"/>
            </w:tcMar>
            <w:vAlign w:val="center"/>
          </w:tcPr>
          <w:p>
            <w:pPr>
              <w:spacing w:after="0"/>
            </w:pPr>
            <w:r>
              <w:rPr>
                <w:rFonts w:ascii="Times New Roman" w:hAnsi="Times New Roman" w:eastAsia="Times New Roman"/>
                <w:sz w:val="16"/>
              </w:rPr>
              <w:t>0.485</w:t>
            </w:r>
          </w:p>
        </w:tc>
      </w:tr>
    </w:tbl>
    <w:p/>
    <w:p>
      <w:pPr>
        <w:keepNext/>
        <w:jc w:val="center"/>
      </w:pPr>
      <w:r>
        <w:drawing>
          <wp:inline xmlns:a="http://schemas.openxmlformats.org/drawingml/2006/main" xmlns:pic="http://schemas.openxmlformats.org/drawingml/2006/picture">
            <wp:extent cx="5669280" cy="3442063"/>
            <wp:docPr id="5" name="Picture 5"/>
            <wp:cNvGraphicFramePr>
              <a:graphicFrameLocks noChangeAspect="1"/>
            </wp:cNvGraphicFramePr>
            <a:graphic>
              <a:graphicData uri="http://schemas.openxmlformats.org/drawingml/2006/picture">
                <pic:pic>
                  <pic:nvPicPr>
                    <pic:cNvPr id="0" name="subgroup_top10_share.png"/>
                    <pic:cNvPicPr/>
                  </pic:nvPicPr>
                  <pic:blipFill>
                    <a:blip r:embed="rId13"/>
                    <a:stretch>
                      <a:fillRect/>
                    </a:stretch>
                  </pic:blipFill>
                  <pic:spPr>
                    <a:xfrm>
                      <a:off x="0" y="0"/>
                      <a:ext cx="5669280" cy="3442063"/>
                    </a:xfrm>
                    <a:prstGeom prst="rect"/>
                  </pic:spPr>
                </pic:pic>
              </a:graphicData>
            </a:graphic>
          </wp:inline>
        </w:drawing>
      </w:r>
    </w:p>
    <w:p>
      <w:pPr>
        <w:spacing w:after="140"/>
        <w:jc w:val="center"/>
      </w:pPr>
      <w:r>
        <w:rPr>
          <w:rFonts w:ascii="Times New Roman" w:hAnsi="Times New Roman" w:eastAsia="Times New Roman"/>
          <w:b w:val="0"/>
          <w:i/>
          <w:color w:val="465A62"/>
          <w:sz w:val="18"/>
        </w:rPr>
        <w:t>Gambar 5. Proporsi Top-K per kelompok wilayah.</w:t>
      </w:r>
    </w:p>
    <w:p>
      <w:pPr>
        <w:spacing w:after="120" w:line="259" w:lineRule="auto"/>
      </w:pPr>
      <w:r>
        <w:rPr>
          <w:rFonts w:ascii="Times New Roman" w:hAnsi="Times New Roman" w:eastAsia="Times New Roman"/>
          <w:sz w:val="22"/>
        </w:rPr>
        <w:t>Stabilitas Top-20 diuji dengan perturbasi skor kecil. Rata-rata overlap Top-20 adalah 0.84, dengan persentil ke-10 sebesar 0.80. Nilai ini menunjukkan apakah queue prioritas sensitif terhadap perubahan kecil pada skor model.</w:t>
      </w:r>
    </w:p>
    <w:p>
      <w:r>
        <w:br w:type="page"/>
      </w:r>
    </w:p>
    <w:p>
      <w:pPr>
        <w:keepNext/>
        <w:spacing w:before="240" w:after="80"/>
      </w:pPr>
      <w:r>
        <w:rPr>
          <w:rFonts w:ascii="Times New Roman" w:hAnsi="Times New Roman" w:eastAsia="Times New Roman"/>
          <w:b/>
          <w:color w:val="12343B"/>
          <w:sz w:val="28"/>
        </w:rPr>
        <w:t>8. Dashboard MBGWatch</w:t>
      </w:r>
    </w:p>
    <w:p>
      <w:pPr>
        <w:keepNext/>
        <w:jc w:val="center"/>
      </w:pPr>
      <w:r>
        <w:drawing>
          <wp:inline xmlns:a="http://schemas.openxmlformats.org/drawingml/2006/main" xmlns:pic="http://schemas.openxmlformats.org/drawingml/2006/picture">
            <wp:extent cx="5669280" cy="3590544"/>
            <wp:docPr id="6" name="Picture 6"/>
            <wp:cNvGraphicFramePr>
              <a:graphicFrameLocks noChangeAspect="1"/>
            </wp:cNvGraphicFramePr>
            <a:graphic>
              <a:graphicData uri="http://schemas.openxmlformats.org/drawingml/2006/picture">
                <pic:pic>
                  <pic:nvPicPr>
                    <pic:cNvPr id="0" name="dashboard_preview.png"/>
                    <pic:cNvPicPr/>
                  </pic:nvPicPr>
                  <pic:blipFill>
                    <a:blip r:embed="rId14"/>
                    <a:stretch>
                      <a:fillRect/>
                    </a:stretch>
                  </pic:blipFill>
                  <pic:spPr>
                    <a:xfrm>
                      <a:off x="0" y="0"/>
                      <a:ext cx="5669280" cy="3590544"/>
                    </a:xfrm>
                    <a:prstGeom prst="rect"/>
                  </pic:spPr>
                </pic:pic>
              </a:graphicData>
            </a:graphic>
          </wp:inline>
        </w:drawing>
      </w:r>
    </w:p>
    <w:p>
      <w:pPr>
        <w:spacing w:after="140"/>
        <w:jc w:val="center"/>
      </w:pPr>
      <w:r>
        <w:rPr>
          <w:rFonts w:ascii="Times New Roman" w:hAnsi="Times New Roman" w:eastAsia="Times New Roman"/>
          <w:b w:val="0"/>
          <w:i/>
          <w:color w:val="465A62"/>
          <w:sz w:val="18"/>
        </w:rPr>
        <w:t>Gambar 6. Preview dashboard MBGWatch untuk eksplorasi ranking.</w:t>
      </w:r>
    </w:p>
    <w:p>
      <w:pPr>
        <w:spacing w:after="120" w:line="259" w:lineRule="auto"/>
      </w:pPr>
      <w:r>
        <w:rPr>
          <w:rFonts w:ascii="Times New Roman" w:hAnsi="Times New Roman" w:eastAsia="Times New Roman"/>
          <w:sz w:val="22"/>
        </w:rPr>
        <w:t>Dashboard menampilkan metrik utama, queue Top-K, profil kabupaten/kota, alasan prioritas, dan ringkasan provinsi. Peran dashboard adalah lapisan pembacaan hasil data mining; kontribusi ilmiah tetap berada pada formulasi ranking, pipeline dataset, evaluasi Top-K, dan analisis risiko transfer.</w:t>
      </w:r>
    </w:p>
    <w:p>
      <w:r>
        <w:br w:type="page"/>
      </w:r>
    </w:p>
    <w:p>
      <w:pPr>
        <w:keepNext/>
        <w:spacing w:before="240" w:after="80"/>
      </w:pPr>
      <w:r>
        <w:rPr>
          <w:rFonts w:ascii="Times New Roman" w:hAnsi="Times New Roman" w:eastAsia="Times New Roman"/>
          <w:b/>
          <w:color w:val="12343B"/>
          <w:sz w:val="28"/>
        </w:rPr>
        <w:t>9. Studi Kasus dan Keterbatasan</w:t>
      </w:r>
    </w:p>
    <w:p>
      <w:pPr>
        <w:keepNext/>
      </w:pPr>
      <w:r>
        <w:rPr>
          <w:rFonts w:ascii="Times New Roman" w:hAnsi="Times New Roman" w:eastAsia="Times New Roman"/>
          <w:b/>
          <w:color w:val="12343B"/>
          <w:sz w:val="18"/>
        </w:rPr>
        <w:t>Tabel 9. Studi kasus Top-5.</w:t>
      </w:r>
    </w:p>
    <w:tbl>
      <w:tblPr>
        <w:tblStyle w:val="TableGrid"/>
        <w:tblW w:type="auto" w:w="0"/>
        <w:tblLayout w:type="autofit"/>
        <w:tblLook w:firstColumn="1" w:firstRow="1" w:lastColumn="0" w:lastRow="0" w:noHBand="0" w:noVBand="1" w:val="04A0"/>
      </w:tblPr>
      <w:tblGrid>
        <w:gridCol w:w="2498"/>
        <w:gridCol w:w="2498"/>
        <w:gridCol w:w="2498"/>
        <w:gridCol w:w="2498"/>
      </w:tblGrid>
      <w:tr>
        <w:tc>
          <w:tcPr>
            <w:tcW w:type="dxa" w:w="648"/>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rank</w:t>
            </w:r>
          </w:p>
        </w:tc>
        <w:tc>
          <w:tcPr>
            <w:tcW w:type="dxa" w:w="1584"/>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district</w:t>
            </w:r>
          </w:p>
        </w:tc>
        <w:tc>
          <w:tcPr>
            <w:tcW w:type="dxa" w:w="1584"/>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province</w:t>
            </w:r>
          </w:p>
        </w:tc>
        <w:tc>
          <w:tcPr>
            <w:tcW w:type="dxa" w:w="5616"/>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case_note</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1</w:t>
            </w:r>
          </w:p>
        </w:tc>
        <w:tc>
          <w:tcPr>
            <w:tcW w:type="dxa" w:w="1584"/>
            <w:tcMar>
              <w:top w:w="80" w:type="dxa"/>
              <w:start w:w="90" w:type="dxa"/>
              <w:bottom w:w="80" w:type="dxa"/>
              <w:end w:w="90" w:type="dxa"/>
            </w:tcMar>
            <w:vAlign w:val="center"/>
          </w:tcPr>
          <w:p>
            <w:pPr>
              <w:spacing w:after="0"/>
            </w:pPr>
            <w:r>
              <w:rPr>
                <w:rFonts w:ascii="Times New Roman" w:hAnsi="Times New Roman" w:eastAsia="Times New Roman"/>
                <w:sz w:val="16"/>
              </w:rPr>
              <w:t>Kab. Mamberamo Raya</w:t>
            </w:r>
          </w:p>
        </w:tc>
        <w:tc>
          <w:tcPr>
            <w:tcW w:type="dxa" w:w="1584"/>
            <w:tcMar>
              <w:top w:w="80" w:type="dxa"/>
              <w:start w:w="90" w:type="dxa"/>
              <w:bottom w:w="80" w:type="dxa"/>
              <w:end w:w="90" w:type="dxa"/>
            </w:tcMar>
            <w:vAlign w:val="center"/>
          </w:tcPr>
          <w:p>
            <w:pPr>
              <w:spacing w:after="0"/>
            </w:pPr>
            <w:r>
              <w:rPr>
                <w:rFonts w:ascii="Times New Roman" w:hAnsi="Times New Roman" w:eastAsia="Times New Roman"/>
                <w:sz w:val="16"/>
              </w:rPr>
              <w:t>Papua</w:t>
            </w:r>
          </w:p>
        </w:tc>
        <w:tc>
          <w:tcPr>
            <w:tcW w:type="dxa" w:w="5616"/>
            <w:tcMar>
              <w:top w:w="80" w:type="dxa"/>
              <w:start w:w="90" w:type="dxa"/>
              <w:bottom w:w="80" w:type="dxa"/>
              <w:end w:w="90" w:type="dxa"/>
            </w:tcMar>
            <w:vAlign w:val="center"/>
          </w:tcPr>
          <w:p>
            <w:pPr>
              <w:spacing w:after="0"/>
            </w:pPr>
            <w:r>
              <w:rPr>
                <w:rFonts w:ascii="Times New Roman" w:hAnsi="Times New Roman" w:eastAsia="Times New Roman"/>
                <w:sz w:val="16"/>
              </w:rPr>
              <w:t>Kab. Mamberamo Raya masuk Top-5 karena kepadatan SPPG rendah relatif terhadap penerima; kerentanan pangan struktural tinggi; tekanan sosial-ekonomi tinggi. Skor gap=0.92, need=0.30, kerentanan pangan=1.00.</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2</w:t>
            </w:r>
          </w:p>
        </w:tc>
        <w:tc>
          <w:tcPr>
            <w:tcW w:type="dxa" w:w="1584"/>
            <w:tcMar>
              <w:top w:w="80" w:type="dxa"/>
              <w:start w:w="90" w:type="dxa"/>
              <w:bottom w:w="80" w:type="dxa"/>
              <w:end w:w="90" w:type="dxa"/>
            </w:tcMar>
            <w:vAlign w:val="center"/>
          </w:tcPr>
          <w:p>
            <w:pPr>
              <w:spacing w:after="0"/>
            </w:pPr>
            <w:r>
              <w:rPr>
                <w:rFonts w:ascii="Times New Roman" w:hAnsi="Times New Roman" w:eastAsia="Times New Roman"/>
                <w:sz w:val="16"/>
              </w:rPr>
              <w:t>Kota Subulussalam</w:t>
            </w:r>
          </w:p>
        </w:tc>
        <w:tc>
          <w:tcPr>
            <w:tcW w:type="dxa" w:w="1584"/>
            <w:tcMar>
              <w:top w:w="80" w:type="dxa"/>
              <w:start w:w="90" w:type="dxa"/>
              <w:bottom w:w="80" w:type="dxa"/>
              <w:end w:w="90" w:type="dxa"/>
            </w:tcMar>
            <w:vAlign w:val="center"/>
          </w:tcPr>
          <w:p>
            <w:pPr>
              <w:spacing w:after="0"/>
            </w:pPr>
            <w:r>
              <w:rPr>
                <w:rFonts w:ascii="Times New Roman" w:hAnsi="Times New Roman" w:eastAsia="Times New Roman"/>
                <w:sz w:val="16"/>
              </w:rPr>
              <w:t>Aceh</w:t>
            </w:r>
          </w:p>
        </w:tc>
        <w:tc>
          <w:tcPr>
            <w:tcW w:type="dxa" w:w="5616"/>
            <w:tcMar>
              <w:top w:w="80" w:type="dxa"/>
              <w:start w:w="90" w:type="dxa"/>
              <w:bottom w:w="80" w:type="dxa"/>
              <w:end w:w="90" w:type="dxa"/>
            </w:tcMar>
            <w:vAlign w:val="center"/>
          </w:tcPr>
          <w:p>
            <w:pPr>
              <w:spacing w:after="0"/>
            </w:pPr>
            <w:r>
              <w:rPr>
                <w:rFonts w:ascii="Times New Roman" w:hAnsi="Times New Roman" w:eastAsia="Times New Roman"/>
                <w:sz w:val="16"/>
              </w:rPr>
              <w:t>Kota Subulussalam masuk Top-5 karena kepadatan SPPG rendah relatif terhadap penerima; gap cakupan dan dukungan tinggi; tekanan harga pangan tinggi. Skor gap=0.96, need=0.23, kerentanan pangan=0.75.</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3</w:t>
            </w:r>
          </w:p>
        </w:tc>
        <w:tc>
          <w:tcPr>
            <w:tcW w:type="dxa" w:w="1584"/>
            <w:tcMar>
              <w:top w:w="80" w:type="dxa"/>
              <w:start w:w="90" w:type="dxa"/>
              <w:bottom w:w="80" w:type="dxa"/>
              <w:end w:w="90" w:type="dxa"/>
            </w:tcMar>
            <w:vAlign w:val="center"/>
          </w:tcPr>
          <w:p>
            <w:pPr>
              <w:spacing w:after="0"/>
            </w:pPr>
            <w:r>
              <w:rPr>
                <w:rFonts w:ascii="Times New Roman" w:hAnsi="Times New Roman" w:eastAsia="Times New Roman"/>
                <w:sz w:val="16"/>
              </w:rPr>
              <w:t>Kab. Biak Numfor</w:t>
            </w:r>
          </w:p>
        </w:tc>
        <w:tc>
          <w:tcPr>
            <w:tcW w:type="dxa" w:w="1584"/>
            <w:tcMar>
              <w:top w:w="80" w:type="dxa"/>
              <w:start w:w="90" w:type="dxa"/>
              <w:bottom w:w="80" w:type="dxa"/>
              <w:end w:w="90" w:type="dxa"/>
            </w:tcMar>
            <w:vAlign w:val="center"/>
          </w:tcPr>
          <w:p>
            <w:pPr>
              <w:spacing w:after="0"/>
            </w:pPr>
            <w:r>
              <w:rPr>
                <w:rFonts w:ascii="Times New Roman" w:hAnsi="Times New Roman" w:eastAsia="Times New Roman"/>
                <w:sz w:val="16"/>
              </w:rPr>
              <w:t>Papua</w:t>
            </w:r>
          </w:p>
        </w:tc>
        <w:tc>
          <w:tcPr>
            <w:tcW w:type="dxa" w:w="5616"/>
            <w:tcMar>
              <w:top w:w="80" w:type="dxa"/>
              <w:start w:w="90" w:type="dxa"/>
              <w:bottom w:w="80" w:type="dxa"/>
              <w:end w:w="90" w:type="dxa"/>
            </w:tcMar>
            <w:vAlign w:val="center"/>
          </w:tcPr>
          <w:p>
            <w:pPr>
              <w:spacing w:after="0"/>
            </w:pPr>
            <w:r>
              <w:rPr>
                <w:rFonts w:ascii="Times New Roman" w:hAnsi="Times New Roman" w:eastAsia="Times New Roman"/>
                <w:sz w:val="16"/>
              </w:rPr>
              <w:t>Kab. Biak Numfor masuk Top-5 karena kepadatan SPPG rendah relatif terhadap penerima; gap cakupan dan dukungan tinggi; tekanan sosial-ekonomi tinggi. Skor gap=0.84, need=0.20, kerentanan pangan=0.64.</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4</w:t>
            </w:r>
          </w:p>
        </w:tc>
        <w:tc>
          <w:tcPr>
            <w:tcW w:type="dxa" w:w="1584"/>
            <w:tcMar>
              <w:top w:w="80" w:type="dxa"/>
              <w:start w:w="90" w:type="dxa"/>
              <w:bottom w:w="80" w:type="dxa"/>
              <w:end w:w="90" w:type="dxa"/>
            </w:tcMar>
            <w:vAlign w:val="center"/>
          </w:tcPr>
          <w:p>
            <w:pPr>
              <w:spacing w:after="0"/>
            </w:pPr>
            <w:r>
              <w:rPr>
                <w:rFonts w:ascii="Times New Roman" w:hAnsi="Times New Roman" w:eastAsia="Times New Roman"/>
                <w:sz w:val="16"/>
              </w:rPr>
              <w:t>Kab. Kepulauan Aru</w:t>
            </w:r>
          </w:p>
        </w:tc>
        <w:tc>
          <w:tcPr>
            <w:tcW w:type="dxa" w:w="1584"/>
            <w:tcMar>
              <w:top w:w="80" w:type="dxa"/>
              <w:start w:w="90" w:type="dxa"/>
              <w:bottom w:w="80" w:type="dxa"/>
              <w:end w:w="90" w:type="dxa"/>
            </w:tcMar>
            <w:vAlign w:val="center"/>
          </w:tcPr>
          <w:p>
            <w:pPr>
              <w:spacing w:after="0"/>
            </w:pPr>
            <w:r>
              <w:rPr>
                <w:rFonts w:ascii="Times New Roman" w:hAnsi="Times New Roman" w:eastAsia="Times New Roman"/>
                <w:sz w:val="16"/>
              </w:rPr>
              <w:t>Maluku</w:t>
            </w:r>
          </w:p>
        </w:tc>
        <w:tc>
          <w:tcPr>
            <w:tcW w:type="dxa" w:w="5616"/>
            <w:tcMar>
              <w:top w:w="80" w:type="dxa"/>
              <w:start w:w="90" w:type="dxa"/>
              <w:bottom w:w="80" w:type="dxa"/>
              <w:end w:w="90" w:type="dxa"/>
            </w:tcMar>
            <w:vAlign w:val="center"/>
          </w:tcPr>
          <w:p>
            <w:pPr>
              <w:spacing w:after="0"/>
            </w:pPr>
            <w:r>
              <w:rPr>
                <w:rFonts w:ascii="Times New Roman" w:hAnsi="Times New Roman" w:eastAsia="Times New Roman"/>
                <w:sz w:val="16"/>
              </w:rPr>
              <w:t>Kab. Kepulauan Aru masuk Top-5 karena kepadatan SPPG rendah relatif terhadap penerima; gap cakupan dan dukungan tinggi; kerentanan pangan struktural tinggi. Skor gap=0.82, need=0.22, kerentanan pangan=0.73.</w:t>
            </w:r>
          </w:p>
        </w:tc>
      </w:tr>
      <w:tr>
        <w:tc>
          <w:tcPr>
            <w:tcW w:type="dxa" w:w="648"/>
            <w:tcMar>
              <w:top w:w="80" w:type="dxa"/>
              <w:start w:w="90" w:type="dxa"/>
              <w:bottom w:w="80" w:type="dxa"/>
              <w:end w:w="90" w:type="dxa"/>
            </w:tcMar>
            <w:vAlign w:val="center"/>
          </w:tcPr>
          <w:p>
            <w:pPr>
              <w:spacing w:after="0"/>
            </w:pPr>
            <w:r>
              <w:rPr>
                <w:rFonts w:ascii="Times New Roman" w:hAnsi="Times New Roman" w:eastAsia="Times New Roman"/>
                <w:sz w:val="16"/>
              </w:rPr>
              <w:t>5</w:t>
            </w:r>
          </w:p>
        </w:tc>
        <w:tc>
          <w:tcPr>
            <w:tcW w:type="dxa" w:w="1584"/>
            <w:tcMar>
              <w:top w:w="80" w:type="dxa"/>
              <w:start w:w="90" w:type="dxa"/>
              <w:bottom w:w="80" w:type="dxa"/>
              <w:end w:w="90" w:type="dxa"/>
            </w:tcMar>
            <w:vAlign w:val="center"/>
          </w:tcPr>
          <w:p>
            <w:pPr>
              <w:spacing w:after="0"/>
            </w:pPr>
            <w:r>
              <w:rPr>
                <w:rFonts w:ascii="Times New Roman" w:hAnsi="Times New Roman" w:eastAsia="Times New Roman"/>
                <w:sz w:val="16"/>
              </w:rPr>
              <w:t>Kab. Keerom</w:t>
            </w:r>
          </w:p>
        </w:tc>
        <w:tc>
          <w:tcPr>
            <w:tcW w:type="dxa" w:w="1584"/>
            <w:tcMar>
              <w:top w:w="80" w:type="dxa"/>
              <w:start w:w="90" w:type="dxa"/>
              <w:bottom w:w="80" w:type="dxa"/>
              <w:end w:w="90" w:type="dxa"/>
            </w:tcMar>
            <w:vAlign w:val="center"/>
          </w:tcPr>
          <w:p>
            <w:pPr>
              <w:spacing w:after="0"/>
            </w:pPr>
            <w:r>
              <w:rPr>
                <w:rFonts w:ascii="Times New Roman" w:hAnsi="Times New Roman" w:eastAsia="Times New Roman"/>
                <w:sz w:val="16"/>
              </w:rPr>
              <w:t>Papua</w:t>
            </w:r>
          </w:p>
        </w:tc>
        <w:tc>
          <w:tcPr>
            <w:tcW w:type="dxa" w:w="5616"/>
            <w:tcMar>
              <w:top w:w="80" w:type="dxa"/>
              <w:start w:w="90" w:type="dxa"/>
              <w:bottom w:w="80" w:type="dxa"/>
              <w:end w:w="90" w:type="dxa"/>
            </w:tcMar>
            <w:vAlign w:val="center"/>
          </w:tcPr>
          <w:p>
            <w:pPr>
              <w:spacing w:after="0"/>
            </w:pPr>
            <w:r>
              <w:rPr>
                <w:rFonts w:ascii="Times New Roman" w:hAnsi="Times New Roman" w:eastAsia="Times New Roman"/>
                <w:sz w:val="16"/>
              </w:rPr>
              <w:t>Kab. Keerom masuk Top-5 karena kepadatan SPPG rendah relatif terhadap penerima; gap cakupan dan dukungan tinggi; kerentanan pangan struktural tinggi. Skor gap=0.99, need=0.17, kerentanan pangan=0.58.</w:t>
            </w:r>
          </w:p>
        </w:tc>
      </w:tr>
    </w:tbl>
    <w:p/>
    <w:p>
      <w:pPr>
        <w:spacing w:after="120" w:line="259" w:lineRule="auto"/>
      </w:pPr>
      <w:r>
        <w:rPr>
          <w:rFonts w:ascii="Times New Roman" w:hAnsi="Times New Roman" w:eastAsia="Times New Roman"/>
          <w:sz w:val="22"/>
        </w:rPr>
        <w:t>Keterbatasan utama adalah label prioritas yang masih berbasis proxy, bukan hasil anotasi ahli. Sebagian sumber publik juga berbeda granularitas dan periode waktunya. Jika tim memperoleh snapshot stunting atau total eligible students yang lebih lengkap, pipeline sudah menyediakan titik masuk manual untuk memperkuat definisi label dan coverage gap.</w:t>
      </w:r>
    </w:p>
    <w:p>
      <w:pPr>
        <w:keepNext/>
        <w:spacing w:before="240" w:after="80"/>
      </w:pPr>
      <w:r>
        <w:rPr>
          <w:rFonts w:ascii="Times New Roman" w:hAnsi="Times New Roman" w:eastAsia="Times New Roman"/>
          <w:b/>
          <w:color w:val="12343B"/>
          <w:sz w:val="28"/>
        </w:rPr>
        <w:t>10. Kesimpulan</w:t>
      </w:r>
    </w:p>
    <w:p>
      <w:pPr>
        <w:spacing w:after="120" w:line="259" w:lineRule="auto"/>
      </w:pPr>
      <w:r>
        <w:rPr>
          <w:rFonts w:ascii="Times New Roman" w:hAnsi="Times New Roman" w:eastAsia="Times New Roman"/>
          <w:sz w:val="22"/>
        </w:rPr>
        <w:t>GiziRank menunjukkan bahwa masalah MBG dapat diformulasikan sebagai tugas data mining yang jelas: ranking prioritas monitoring kabupaten/kota. Dengan sumber publik resmi, model ringan, metrik Top-K, dan dashboard interpretatif, solusi ini lebih kuat daripada dashboard statis karena menghasilkan queue aksi yang terukur. Pengembangan berikutnya adalah validasi ahli, integrasi data stunting tabular terbaru, dan evaluasi prospektif terhadap tindak lanjut monitoring lapangan.</w:t>
      </w:r>
    </w:p>
    <w:p>
      <w:pPr>
        <w:keepNext/>
        <w:spacing w:before="240" w:after="80"/>
      </w:pPr>
      <w:r>
        <w:rPr>
          <w:rFonts w:ascii="Times New Roman" w:hAnsi="Times New Roman" w:eastAsia="Times New Roman"/>
          <w:b/>
          <w:color w:val="12343B"/>
          <w:sz w:val="28"/>
        </w:rPr>
        <w:t>11. Daftar Pustaka</w:t>
      </w:r>
    </w:p>
    <w:p>
      <w:pPr>
        <w:spacing w:after="120" w:line="259" w:lineRule="auto"/>
      </w:pPr>
      <w:r>
        <w:rPr>
          <w:rFonts w:ascii="Times New Roman" w:hAnsi="Times New Roman" w:eastAsia="Times New Roman"/>
          <w:sz w:val="22"/>
        </w:rPr>
        <w:t>[1] Badan Gizi Nasional. SPPG Operasional. https://www.bgn.go.id/operasional-sppg</w:t>
      </w:r>
    </w:p>
    <w:p>
      <w:pPr>
        <w:spacing w:after="120" w:line="259" w:lineRule="auto"/>
      </w:pPr>
      <w:r>
        <w:rPr>
          <w:rFonts w:ascii="Times New Roman" w:hAnsi="Times New Roman" w:eastAsia="Times New Roman"/>
          <w:sz w:val="22"/>
        </w:rPr>
        <w:t>[2] Kemendikdasmen. Dashboard MBG. https://mbg.pdm.kemendikdasmen.go.id/portal</w:t>
      </w:r>
    </w:p>
    <w:p>
      <w:pPr>
        <w:spacing w:after="120" w:line="259" w:lineRule="auto"/>
      </w:pPr>
      <w:r>
        <w:rPr>
          <w:rFonts w:ascii="Times New Roman" w:hAnsi="Times New Roman" w:eastAsia="Times New Roman"/>
          <w:sz w:val="22"/>
        </w:rPr>
        <w:t>[3] Dashboard TP2S. Dashboard Pemantauan Terpadu Percepatan Pencegahan Stunting. https://dashboard.stunting.go.id/</w:t>
      </w:r>
    </w:p>
    <w:p>
      <w:pPr>
        <w:spacing w:after="120" w:line="259" w:lineRule="auto"/>
      </w:pPr>
      <w:r>
        <w:rPr>
          <w:rFonts w:ascii="Times New Roman" w:hAnsi="Times New Roman" w:eastAsia="Times New Roman"/>
          <w:sz w:val="22"/>
        </w:rPr>
        <w:t>[4] Badan Pangan Nasional. Indeks Ketahanan Pangan Kabupaten/Kota 2024. https://data.badanpangan.go.id/datasetpublications/frq/ikp-kab-kota-2024</w:t>
      </w:r>
    </w:p>
    <w:p>
      <w:pPr>
        <w:spacing w:after="120" w:line="259" w:lineRule="auto"/>
      </w:pPr>
      <w:r>
        <w:rPr>
          <w:rFonts w:ascii="Times New Roman" w:hAnsi="Times New Roman" w:eastAsia="Times New Roman"/>
          <w:sz w:val="22"/>
        </w:rPr>
        <w:t>[5] Badan Pangan Nasional. Harga Pangan Tingkat Konsumen Provinsi. https://satudata.badanpangan.go.id/datasetpublications/tq2/harga-pangan-tingkat-konsumen-provinsi</w:t>
      </w:r>
    </w:p>
    <w:p>
      <w:pPr>
        <w:spacing w:after="120" w:line="259" w:lineRule="auto"/>
      </w:pPr>
      <w:r>
        <w:rPr>
          <w:rFonts w:ascii="Times New Roman" w:hAnsi="Times New Roman" w:eastAsia="Times New Roman"/>
          <w:sz w:val="22"/>
        </w:rPr>
        <w:t>[6] Badan Pusat Statistik. Persentase Penduduk Miskin menurut Kabupaten/Kota. https://www.bps.go.id/id/statistics-table/2/NjIxIzI=/persentase-penduduk-miskin--p0--menurut-kabupaten-kota.html</w:t>
      </w:r>
    </w:p>
    <w:p>
      <w:pPr>
        <w:spacing w:after="120" w:line="259" w:lineRule="auto"/>
      </w:pPr>
      <w:r>
        <w:rPr>
          <w:rFonts w:ascii="Times New Roman" w:hAnsi="Times New Roman" w:eastAsia="Times New Roman"/>
          <w:sz w:val="22"/>
        </w:rPr>
        <w:t>[7] Davis, J. and Goadrich, M. The Relationship Between Precision-Recall and ROC Curves. ICML, 2006.</w:t>
      </w:r>
    </w:p>
    <w:p>
      <w:pPr>
        <w:spacing w:after="120" w:line="259" w:lineRule="auto"/>
      </w:pPr>
      <w:r>
        <w:rPr>
          <w:rFonts w:ascii="Times New Roman" w:hAnsi="Times New Roman" w:eastAsia="Times New Roman"/>
          <w:sz w:val="22"/>
        </w:rPr>
        <w:t>[8] Friedman, J. Greedy Function Approximation: A Gradient Boosting Machine. Annals of Statistics, 2001.</w:t>
      </w:r>
    </w:p>
    <w:p>
      <w:pPr>
        <w:spacing w:after="120" w:line="259" w:lineRule="auto"/>
      </w:pPr>
      <w:r>
        <w:rPr>
          <w:rFonts w:ascii="Times New Roman" w:hAnsi="Times New Roman" w:eastAsia="Times New Roman"/>
          <w:sz w:val="22"/>
        </w:rPr>
        <w:t>[9] Breiman, L. Random Forests. Machine Learning, 2001.</w:t>
      </w:r>
    </w:p>
    <w:p>
      <w:pPr>
        <w:sectPr>
          <w:pgSz w:w="12240" w:h="15840"/>
          <w:pgMar w:top="1037" w:right="1123" w:bottom="1037" w:left="1123" w:header="720" w:footer="720" w:gutter="0"/>
          <w:cols w:space="720"/>
          <w:docGrid w:linePitch="360"/>
        </w:sectPr>
      </w:pPr>
    </w:p>
    <w:p>
      <w:pPr>
        <w:keepNext/>
        <w:spacing w:before="240" w:after="80"/>
      </w:pPr>
      <w:r>
        <w:rPr>
          <w:rFonts w:ascii="Times New Roman" w:hAnsi="Times New Roman" w:eastAsia="Times New Roman"/>
          <w:b/>
          <w:color w:val="12343B"/>
          <w:sz w:val="28"/>
        </w:rPr>
        <w:t>Lampiran A. Reproducibility Checklist</w:t>
      </w:r>
    </w:p>
    <w:p>
      <w:pPr>
        <w:keepNext/>
      </w:pPr>
      <w:r>
        <w:rPr>
          <w:rFonts w:ascii="Times New Roman" w:hAnsi="Times New Roman" w:eastAsia="Times New Roman"/>
          <w:b/>
          <w:color w:val="12343B"/>
          <w:sz w:val="18"/>
        </w:rPr>
        <w:t>Tabel A1. Reproducibility checklist.</w:t>
      </w:r>
    </w:p>
    <w:tbl>
      <w:tblPr>
        <w:tblStyle w:val="TableGrid"/>
        <w:tblW w:type="auto" w:w="0"/>
        <w:tblLayout w:type="autofit"/>
        <w:tblLook w:firstColumn="1" w:firstRow="1" w:lastColumn="0" w:lastRow="0" w:noHBand="0" w:noVBand="1" w:val="04A0"/>
      </w:tblPr>
      <w:tblGrid>
        <w:gridCol w:w="4997"/>
        <w:gridCol w:w="4997"/>
      </w:tblGrid>
      <w:tr>
        <w:tc>
          <w:tcPr>
            <w:tcW w:type="dxa" w:w="4997"/>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Artefak</w:t>
            </w:r>
          </w:p>
        </w:tc>
        <w:tc>
          <w:tcPr>
            <w:tcW w:type="dxa" w:w="4997"/>
            <w:shd w:fill="E9F1ED"/>
            <w:tcMar>
              <w:top w:w="80" w:type="dxa"/>
              <w:start w:w="90" w:type="dxa"/>
              <w:bottom w:w="80" w:type="dxa"/>
              <w:end w:w="90" w:type="dxa"/>
            </w:tcMar>
            <w:vAlign w:val="center"/>
          </w:tcPr>
          <w:p>
            <w:pPr>
              <w:jc w:val="center"/>
            </w:pPr>
            <w:r>
              <w:rPr>
                <w:rFonts w:ascii="Times New Roman" w:hAnsi="Times New Roman" w:eastAsia="Times New Roman"/>
                <w:b/>
                <w:color w:val="12343B"/>
                <w:sz w:val="16"/>
              </w:rPr>
              <w:t>Lokasi/Perintah</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Dataset builder</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python src/build_dataset.py</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Model training</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python src/train_gizirank.py</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Report generation</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python src/build_formal_report.py</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Dashboard</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streamlit run dashboard/app.py</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Manual review</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reports/tables/unmatched_districts_for_manual_review.csv</w:t>
            </w:r>
          </w:p>
        </w:tc>
      </w:tr>
      <w:tr>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Static preview</w:t>
            </w:r>
          </w:p>
        </w:tc>
        <w:tc>
          <w:tcPr>
            <w:tcW w:type="dxa" w:w="4997"/>
            <w:tcMar>
              <w:top w:w="80" w:type="dxa"/>
              <w:start w:w="90" w:type="dxa"/>
              <w:bottom w:w="80" w:type="dxa"/>
              <w:end w:w="90" w:type="dxa"/>
            </w:tcMar>
            <w:vAlign w:val="center"/>
          </w:tcPr>
          <w:p>
            <w:pPr>
              <w:spacing w:after="0"/>
            </w:pPr>
            <w:r>
              <w:rPr>
                <w:rFonts w:ascii="Times New Roman" w:hAnsi="Times New Roman" w:eastAsia="Times New Roman"/>
                <w:sz w:val="16"/>
              </w:rPr>
              <w:t>dashboard/static_preview.html</w:t>
            </w:r>
          </w:p>
        </w:tc>
      </w:tr>
    </w:tbl>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