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475569"/>
          <w:sz w:val="26"/>
        </w:rPr>
        <w:t>Technical Report GEMASTIK XVIII - Penambangan Data</w:t>
      </w:r>
    </w:p>
    <w:p>
      <w:pPr>
        <w:spacing w:after="360"/>
        <w:jc w:val="center"/>
      </w:pPr>
      <w:r>
        <w:rPr>
          <w:b/>
          <w:color w:val="7F1D1D"/>
          <w:sz w:val="40"/>
        </w:rPr>
        <w:t>JudolFlow-X: Hybrid NLP, Entity Mining, and Graph Ranking untuk Prioritas Tinjauan Promosi Judi Online</w:t>
      </w:r>
    </w:p>
    <w:p>
      <w:pPr>
        <w:jc w:val="center"/>
      </w:pPr>
      <w:r>
        <w:rPr>
          <w:sz w:val="22"/>
        </w:rPr>
        <w:t>ID Tim: ID_TIM</w:t>
      </w:r>
    </w:p>
    <w:p>
      <w:pPr>
        <w:jc w:val="center"/>
      </w:pPr>
      <w:r>
        <w:rPr>
          <w:sz w:val="22"/>
        </w:rPr>
        <w:t>Nama Tim: NAMA_TIM</w:t>
      </w:r>
    </w:p>
    <w:p>
      <w:pPr>
        <w:jc w:val="center"/>
      </w:pPr>
      <w:r>
        <w:rPr>
          <w:sz w:val="22"/>
        </w:rPr>
        <w:t>Perguruan Tinggi: NAMA_UNIVERSITAS</w:t>
      </w:r>
    </w:p>
    <w:p>
      <w:pPr>
        <w:jc w:val="center"/>
      </w:pPr>
      <w:r>
        <w:rPr>
          <w:sz w:val="22"/>
        </w:rPr>
        <w:t>Anggota: NAMA_ANGGOTA_1, NAMA_ANGGOTA_2, NAMA_ANGGOTA_3</w:t>
      </w:r>
    </w:p>
    <w:p>
      <w:pPr>
        <w:jc w:val="center"/>
      </w:pPr>
      <w:r>
        <w:rPr>
          <w:sz w:val="22"/>
        </w:rPr>
        <w:t>Tanggal penyusunan artefak: 18 May 2026</w:t>
      </w:r>
    </w:p>
    <w:p/>
    <w:tbl>
      <w:tblPr>
        <w:tblW w:type="auto" w:w="0"/>
        <w:jc w:val="center"/>
        <w:tblLook w:firstColumn="1" w:firstRow="1" w:lastColumn="0" w:lastRow="0" w:noHBand="0" w:noVBand="1" w:val="04A0"/>
      </w:tblPr>
      <w:tblGrid>
        <w:gridCol w:w="9802"/>
      </w:tblGrid>
      <w:tr>
        <w:tc>
          <w:tcPr>
            <w:tcW w:type="dxa" w:w="9802"/>
            <w:shd w:fill="FFF7ED"/>
            <w:tcMar>
              <w:top w:w="170" w:type="dxa"/>
              <w:start w:w="220" w:type="dxa"/>
              <w:bottom w:w="170" w:type="dxa"/>
              <w:end w:w="220" w:type="dxa"/>
            </w:tcMar>
          </w:tcPr>
          <w:p>
            <w:r>
              <w:rPr>
                <w:sz w:val="20"/>
              </w:rPr>
              <w:t>Batas etis: JudolFlow-X menghasilkan antrian tinjauan manusia terhadap cluster publik yang telah dimasking. Sistem tidak menuduh individu, tidak mempublikasikan domain/handle live, dan tidak menggantikan proses verifikasi lembaga berwenang.</w:t>
            </w:r>
          </w:p>
        </w:tc>
      </w:tr>
    </w:tbl>
    <w:p>
      <w:r>
        <w:br w:type="page"/>
      </w:r>
    </w:p>
    <w:p>
      <w:pPr>
        <w:pStyle w:val="Heading1"/>
        <w:keepNext/>
      </w:pPr>
      <w:r>
        <w:t>Abstrak</w:t>
      </w:r>
    </w:p>
    <w:p>
      <w:pPr>
        <w:pStyle w:val="BodyText"/>
        <w:jc w:val="both"/>
      </w:pPr>
      <w:r>
        <w:t>Judi online menjadi masalah ruang digital karena promosi, tautan mirror, akun perantara, dan petunjuk pembayaran dapat muncul secara cepat serta lintas platform. JudolFlow-X mengusulkan pipeline penambangan data untuk memprioritaskan cluster promosi judi online yang perlu ditinjau oleh manusia. Unit analisis bukan individu, melainkan cluster konten publik dan entitas yang telah dimasking. Metode yang digunakan mencakup normalisasi teks Indonesia, ekstraksi entitas domain/handle/kontak/pembayaran, pembentukan graf ko-kemunculan, klasifikasi berbasis weak supervision, dan ranking multi-sinyal. Pada corpus prototipe anonim sebanyak 620 sampel, model StumpBoost JudolFlow memperoleh PR-AUC tinggi pada split waktu dan menghasilkan antrian Top-K yang stabil. Kontribusi utama karya ini adalah desain sistem yang dapat diuji ulang, aman secara etis, dan berorientasi pada prioritas tinjauan, bukan tuduhan otomatis.</w:t>
      </w:r>
    </w:p>
    <w:p>
      <w:pPr>
        <w:pStyle w:val="BodyText"/>
        <w:jc w:val="both"/>
      </w:pPr>
      <w:r>
        <w:t>Kata kunci: judi online, graph mining, NLP, weak supervision, entity extraction, ranking.</w:t>
      </w:r>
    </w:p>
    <w:p>
      <w:pPr>
        <w:pStyle w:val="Heading1"/>
        <w:keepNext/>
      </w:pPr>
      <w:r>
        <w:t>1. Pendahuluan</w:t>
      </w:r>
    </w:p>
    <w:p>
      <w:pPr>
        <w:pStyle w:val="BodyText"/>
        <w:jc w:val="both"/>
      </w:pPr>
      <w:r>
        <w:t>Promosi judi online sering memanfaatkan bahasa tersandi, komentar berulang, tautan berganti, akun kontak, serta petunjuk pembayaran. Dalam skala besar, moderator atau lembaga pengawas menghadapi keterbatasan kapasitas: semua konten tidak mungkin diperiksa secara manual dengan kedalaman yang sama. Oleh karena itu, masalah data mining yang relevan bukan hanya klasifikasi satu konten, melainkan prioritisasi cluster yang paling layak masuk antrian tinjauan.</w:t>
      </w:r>
    </w:p>
    <w:p>
      <w:pPr>
        <w:pStyle w:val="BodyText"/>
        <w:jc w:val="both"/>
      </w:pPr>
      <w:r>
        <w:t>Konteks nasional menunjukkan isu ini penting. Komdigi melaporkan pemutusan akses konten terkait judi online dalam skala jutaan, pengembangan SAMAN untuk pemantauan ruang digital, serta penyediaan kanal pelaporan publik seperti AduanKonten dan CekRekening. PPATK dan OJK juga menempatkan judi online sebagai risiko sosial-ekonomi dan finansial yang perlu ditangani lintas lembaga. JudolFlow-X berada pada lapisan pendukung keputusan: membantu menentukan cluster mana yang perlu dilihat lebih dahulu.</w:t>
      </w:r>
    </w:p>
    <w:p>
      <w:pPr>
        <w:pStyle w:val="BodyText"/>
        <w:jc w:val="both"/>
      </w:pPr>
      <w:r>
        <w:t>Tujuan penelitian ini adalah membangun prototipe yang dapat: (1) mengekstraksi sinyal teks dan entitas dari konten publik, (2) membentuk graf ko-kemunculan entitas, (3) menghitung skor prioritas tinjauan cluster, dan (4) menjelaskan alasan ranking secara ringkas. Manfaat praktisnya adalah efisiensi triase, konsistensi pelaporan, dan transparansi fitur yang mendukung pemeriksaan manusia.</w:t>
      </w:r>
    </w:p>
    <w:p>
      <w:pPr>
        <w:pStyle w:val="BodyText"/>
        <w:jc w:val="both"/>
      </w:pPr>
      <w:r>
        <w:t>Batasan penelitian: dataset bawaan adalah corpus anonim sintetik bergaya sinyal publik agar tidak menyebarkan domain, handle, nomor telepon, atau petunjuk pembayaran yang nyata. Untuk pengajuan final, tim perlu mengganti atau melengkapi corpus ini dengan snapshot publik yang diperoleh secara legal, dianotasi, dan disamarkan. Hasil model tidak boleh dipakai sebagai dasar tuduhan otomatis terhadap orang, akun, atau institusi.</w:t>
      </w:r>
    </w:p>
    <w:p>
      <w:pPr>
        <w:pStyle w:val="Heading1"/>
        <w:keepNext/>
      </w:pPr>
      <w:r>
        <w:t>2. Kajian Terkait</w:t>
      </w:r>
    </w:p>
    <w:p>
      <w:pPr>
        <w:pStyle w:val="BodyText"/>
        <w:jc w:val="both"/>
      </w:pPr>
      <w:r>
        <w:t>Penelitian deteksi konten ilegal dan berbahaya umumnya memadukan NLP, ekstraksi entitas, dan analisis graf. Model teks mampu menangkap pola semantik seperti ajakan, promosi, dan instruksi transaksi, tetapi mudah gagal jika aktor menggunakan slang atau obfuscation. Sebaliknya, graf ko-kemunculan entitas dapat memperlihatkan pola koordinasi melalui domain, handle, kontak, dan petunjuk pembayaran yang dipakai berulang.</w:t>
      </w:r>
    </w:p>
    <w:p>
      <w:pPr>
        <w:pStyle w:val="BodyText"/>
        <w:jc w:val="both"/>
      </w:pPr>
      <w:r>
        <w:t>Pendekatan retrieval dan reranking modern dapat digunakan sebagai tahap lanjutan. Embedding multilingual, dense retrieval, dan cross-encoder reranker berguna untuk menemukan variasi konten yang secara leksikal berbeda tetapi bermakna serupa. Namun, agar prototipe GEMASTIK dapat direplikasi tanpa GPU, implementasi awal menggunakan model tabular ringan dan graf connected components. Desain ini tetap membuka jalur pengembangan menuju BGE-M3, Qwen embedding, GraphSAGE, atau heterogeneous GNN ketika data berlabel lebih besar tersedia.</w:t>
      </w:r>
    </w:p>
    <w:p>
      <w:pPr>
        <w:pStyle w:val="BodyText"/>
        <w:jc w:val="both"/>
      </w:pPr>
      <w:r>
        <w:t>Perbedaan JudolFlow-X dibanding klasifikasi konten sederhana adalah keluaran utamanya berupa ranking cluster. Ranking cluster lebih sesuai untuk kebutuhan operasional karena satu domain, handle, atau pola pembayaran dapat muncul dalam banyak sampel. Dengan demikian, evaluator dapat melihat konsentrasi bukti, bukan hanya satu teks terpisah.</w:t>
      </w:r>
    </w:p>
    <w:p>
      <w:pPr>
        <w:pStyle w:val="Heading1"/>
        <w:keepNext/>
      </w:pPr>
      <w:r>
        <w:t>3. Dataset dan Formulasi Masalah</w:t>
      </w:r>
    </w:p>
    <w:p>
      <w:pPr>
        <w:pStyle w:val="BodyText"/>
        <w:jc w:val="both"/>
      </w:pPr>
      <w:r>
        <w:t>Unit data adalah sampel konten publik yang memiliki metadata platform, waktu, sumber, teks, dan label tinjauan. Pipeline mengekstraksi empat keluarga entitas: domain, handle, kontak telepon, dan petunjuk pembayaran. Seluruh entitas dimasking menjadi hash bertipe, misalnya domain_xxx atau handle_xxx, sebelum masuk tabel proses.</w:t>
      </w:r>
    </w:p>
    <w:p>
      <w:pPr>
        <w:keepNext/>
        <w:jc w:val="center"/>
      </w:pPr>
      <w:r>
        <w:rPr>
          <w:b/>
          <w:sz w:val="18"/>
        </w:rPr>
        <w:t>Tabel 1. Ringkasan dataset dan status masking.</w:t>
      </w:r>
    </w:p>
    <w:tbl>
      <w:tblPr>
        <w:tblStyle w:val="TableGrid"/>
        <w:tblW w:type="auto" w:w="0"/>
        <w:jc w:val="center"/>
        <w:tblLook w:firstColumn="1" w:firstRow="1" w:lastColumn="0" w:lastRow="0" w:noHBand="0" w:noVBand="1" w:val="04A0"/>
      </w:tblPr>
      <w:tblGrid>
        <w:gridCol w:w="4901"/>
        <w:gridCol w:w="4901"/>
      </w:tblGrid>
      <w:tr>
        <w:trPr>
          <w:tblHeader w:val="true"/>
        </w:trPr>
        <w:tc>
          <w:tcPr>
            <w:tcW w:type="dxa" w:w="3456"/>
            <w:shd w:fill="E7E5DF"/>
            <w:tcMar>
              <w:top w:w="100" w:type="dxa"/>
              <w:start w:w="120" w:type="dxa"/>
              <w:bottom w:w="100" w:type="dxa"/>
              <w:end w:w="120" w:type="dxa"/>
            </w:tcMar>
            <w:vAlign w:val="center"/>
          </w:tcPr>
          <w:p>
            <w:r>
              <w:rPr>
                <w:b/>
                <w:sz w:val="17"/>
              </w:rPr>
              <w:t>metric</w:t>
            </w:r>
          </w:p>
        </w:tc>
        <w:tc>
          <w:tcPr>
            <w:tcW w:type="dxa" w:w="5472"/>
            <w:shd w:fill="E7E5DF"/>
            <w:tcMar>
              <w:top w:w="100" w:type="dxa"/>
              <w:start w:w="120" w:type="dxa"/>
              <w:bottom w:w="100" w:type="dxa"/>
              <w:end w:w="120" w:type="dxa"/>
            </w:tcMar>
            <w:vAlign w:val="center"/>
          </w:tcPr>
          <w:p>
            <w:r>
              <w:rPr>
                <w:b/>
                <w:sz w:val="17"/>
              </w:rPr>
              <w:t>value</w:t>
            </w:r>
          </w:p>
        </w:tc>
      </w:tr>
      <w:tr>
        <w:tc>
          <w:tcPr>
            <w:tcW w:type="dxa" w:w="3456"/>
            <w:tcMar>
              <w:top w:w="100" w:type="dxa"/>
              <w:start w:w="120" w:type="dxa"/>
              <w:bottom w:w="100" w:type="dxa"/>
              <w:end w:w="120" w:type="dxa"/>
            </w:tcMar>
            <w:vAlign w:val="center"/>
          </w:tcPr>
          <w:p>
            <w:pPr>
              <w:spacing w:after="0"/>
            </w:pPr>
            <w:r>
              <w:rPr>
                <w:sz w:val="17"/>
              </w:rPr>
              <w:t>content_samples</w:t>
            </w:r>
          </w:p>
        </w:tc>
        <w:tc>
          <w:tcPr>
            <w:tcW w:type="dxa" w:w="5472"/>
            <w:tcMar>
              <w:top w:w="100" w:type="dxa"/>
              <w:start w:w="120" w:type="dxa"/>
              <w:bottom w:w="100" w:type="dxa"/>
              <w:end w:w="120" w:type="dxa"/>
            </w:tcMar>
            <w:vAlign w:val="center"/>
          </w:tcPr>
          <w:p>
            <w:pPr>
              <w:spacing w:after="0"/>
            </w:pPr>
            <w:r>
              <w:rPr>
                <w:sz w:val="17"/>
              </w:rPr>
              <w:t>620</w:t>
            </w:r>
          </w:p>
        </w:tc>
      </w:tr>
      <w:tr>
        <w:tc>
          <w:tcPr>
            <w:tcW w:type="dxa" w:w="3456"/>
            <w:tcMar>
              <w:top w:w="100" w:type="dxa"/>
              <w:start w:w="120" w:type="dxa"/>
              <w:bottom w:w="100" w:type="dxa"/>
              <w:end w:w="120" w:type="dxa"/>
            </w:tcMar>
            <w:vAlign w:val="center"/>
          </w:tcPr>
          <w:p>
            <w:pPr>
              <w:spacing w:after="0"/>
            </w:pPr>
            <w:r>
              <w:rPr>
                <w:sz w:val="17"/>
              </w:rPr>
              <w:t>clusters</w:t>
            </w:r>
          </w:p>
        </w:tc>
        <w:tc>
          <w:tcPr>
            <w:tcW w:type="dxa" w:w="5472"/>
            <w:tcMar>
              <w:top w:w="100" w:type="dxa"/>
              <w:start w:w="120" w:type="dxa"/>
              <w:bottom w:w="100" w:type="dxa"/>
              <w:end w:w="120" w:type="dxa"/>
            </w:tcMar>
            <w:vAlign w:val="center"/>
          </w:tcPr>
          <w:p>
            <w:pPr>
              <w:spacing w:after="0"/>
            </w:pPr>
            <w:r>
              <w:rPr>
                <w:sz w:val="17"/>
              </w:rPr>
              <w:t>296</w:t>
            </w:r>
          </w:p>
        </w:tc>
      </w:tr>
      <w:tr>
        <w:tc>
          <w:tcPr>
            <w:tcW w:type="dxa" w:w="3456"/>
            <w:tcMar>
              <w:top w:w="100" w:type="dxa"/>
              <w:start w:w="120" w:type="dxa"/>
              <w:bottom w:w="100" w:type="dxa"/>
              <w:end w:w="120" w:type="dxa"/>
            </w:tcMar>
            <w:vAlign w:val="center"/>
          </w:tcPr>
          <w:p>
            <w:pPr>
              <w:spacing w:after="0"/>
            </w:pPr>
            <w:r>
              <w:rPr>
                <w:sz w:val="17"/>
              </w:rPr>
              <w:t>platforms</w:t>
            </w:r>
          </w:p>
        </w:tc>
        <w:tc>
          <w:tcPr>
            <w:tcW w:type="dxa" w:w="5472"/>
            <w:tcMar>
              <w:top w:w="100" w:type="dxa"/>
              <w:start w:w="120" w:type="dxa"/>
              <w:bottom w:w="100" w:type="dxa"/>
              <w:end w:w="120" w:type="dxa"/>
            </w:tcMar>
            <w:vAlign w:val="center"/>
          </w:tcPr>
          <w:p>
            <w:pPr>
              <w:spacing w:after="0"/>
            </w:pPr>
            <w:r>
              <w:rPr>
                <w:sz w:val="17"/>
              </w:rPr>
              <w:t>6</w:t>
            </w:r>
          </w:p>
        </w:tc>
      </w:tr>
      <w:tr>
        <w:tc>
          <w:tcPr>
            <w:tcW w:type="dxa" w:w="3456"/>
            <w:tcMar>
              <w:top w:w="100" w:type="dxa"/>
              <w:start w:w="120" w:type="dxa"/>
              <w:bottom w:w="100" w:type="dxa"/>
              <w:end w:w="120" w:type="dxa"/>
            </w:tcMar>
            <w:vAlign w:val="center"/>
          </w:tcPr>
          <w:p>
            <w:pPr>
              <w:spacing w:after="0"/>
            </w:pPr>
            <w:r>
              <w:rPr>
                <w:sz w:val="17"/>
              </w:rPr>
              <w:t>periods</w:t>
            </w:r>
          </w:p>
        </w:tc>
        <w:tc>
          <w:tcPr>
            <w:tcW w:type="dxa" w:w="5472"/>
            <w:tcMar>
              <w:top w:w="100" w:type="dxa"/>
              <w:start w:w="120" w:type="dxa"/>
              <w:bottom w:w="100" w:type="dxa"/>
              <w:end w:w="120" w:type="dxa"/>
            </w:tcMar>
            <w:vAlign w:val="center"/>
          </w:tcPr>
          <w:p>
            <w:pPr>
              <w:spacing w:after="0"/>
            </w:pPr>
            <w:r>
              <w:rPr>
                <w:sz w:val="17"/>
              </w:rPr>
              <w:t>16</w:t>
            </w:r>
          </w:p>
        </w:tc>
      </w:tr>
      <w:tr>
        <w:tc>
          <w:tcPr>
            <w:tcW w:type="dxa" w:w="3456"/>
            <w:tcMar>
              <w:top w:w="100" w:type="dxa"/>
              <w:start w:w="120" w:type="dxa"/>
              <w:bottom w:w="100" w:type="dxa"/>
              <w:end w:w="120" w:type="dxa"/>
            </w:tcMar>
            <w:vAlign w:val="center"/>
          </w:tcPr>
          <w:p>
            <w:pPr>
              <w:spacing w:after="0"/>
            </w:pPr>
            <w:r>
              <w:rPr>
                <w:sz w:val="17"/>
              </w:rPr>
              <w:t>weak_positive_share</w:t>
            </w:r>
          </w:p>
        </w:tc>
        <w:tc>
          <w:tcPr>
            <w:tcW w:type="dxa" w:w="5472"/>
            <w:tcMar>
              <w:top w:w="100" w:type="dxa"/>
              <w:start w:w="120" w:type="dxa"/>
              <w:bottom w:w="100" w:type="dxa"/>
              <w:end w:w="120" w:type="dxa"/>
            </w:tcMar>
            <w:vAlign w:val="center"/>
          </w:tcPr>
          <w:p>
            <w:pPr>
              <w:spacing w:after="0"/>
            </w:pPr>
            <w:r>
              <w:rPr>
                <w:sz w:val="17"/>
              </w:rPr>
              <w:t>0.5468</w:t>
            </w:r>
          </w:p>
        </w:tc>
      </w:tr>
      <w:tr>
        <w:tc>
          <w:tcPr>
            <w:tcW w:type="dxa" w:w="3456"/>
            <w:tcMar>
              <w:top w:w="100" w:type="dxa"/>
              <w:start w:w="120" w:type="dxa"/>
              <w:bottom w:w="100" w:type="dxa"/>
              <w:end w:w="120" w:type="dxa"/>
            </w:tcMar>
            <w:vAlign w:val="center"/>
          </w:tcPr>
          <w:p>
            <w:pPr>
              <w:spacing w:after="0"/>
            </w:pPr>
            <w:r>
              <w:rPr>
                <w:sz w:val="17"/>
              </w:rPr>
              <w:t>processed_identifiers_masked</w:t>
            </w:r>
          </w:p>
        </w:tc>
        <w:tc>
          <w:tcPr>
            <w:tcW w:type="dxa" w:w="5472"/>
            <w:tcMar>
              <w:top w:w="100" w:type="dxa"/>
              <w:start w:w="120" w:type="dxa"/>
              <w:bottom w:w="100" w:type="dxa"/>
              <w:end w:w="120" w:type="dxa"/>
            </w:tcMar>
            <w:vAlign w:val="center"/>
          </w:tcPr>
          <w:p>
            <w:pPr>
              <w:spacing w:after="0"/>
            </w:pPr>
            <w:r>
              <w:rPr>
                <w:sz w:val="17"/>
              </w:rPr>
              <w:t>yes</w:t>
            </w:r>
          </w:p>
        </w:tc>
      </w:tr>
      <w:tr>
        <w:tc>
          <w:tcPr>
            <w:tcW w:type="dxa" w:w="3456"/>
            <w:tcMar>
              <w:top w:w="100" w:type="dxa"/>
              <w:start w:w="120" w:type="dxa"/>
              <w:bottom w:w="100" w:type="dxa"/>
              <w:end w:w="120" w:type="dxa"/>
            </w:tcMar>
            <w:vAlign w:val="center"/>
          </w:tcPr>
          <w:p>
            <w:pPr>
              <w:spacing w:after="0"/>
            </w:pPr>
            <w:r>
              <w:rPr>
                <w:sz w:val="17"/>
              </w:rPr>
              <w:t>raw_source</w:t>
            </w:r>
          </w:p>
        </w:tc>
        <w:tc>
          <w:tcPr>
            <w:tcW w:type="dxa" w:w="5472"/>
            <w:tcMar>
              <w:top w:w="100" w:type="dxa"/>
              <w:start w:w="120" w:type="dxa"/>
              <w:bottom w:w="100" w:type="dxa"/>
              <w:end w:w="120" w:type="dxa"/>
            </w:tcMar>
            <w:vAlign w:val="center"/>
          </w:tcPr>
          <w:p>
            <w:pPr>
              <w:spacing w:after="0"/>
            </w:pPr>
            <w:r>
              <w:rPr>
                <w:sz w:val="17"/>
              </w:rPr>
              <w:t>generated_demo_anonymized_content_samples.csv</w:t>
            </w:r>
          </w:p>
        </w:tc>
      </w:tr>
    </w:tbl>
    <w:p/>
    <w:p>
      <w:pPr>
        <w:keepNext/>
        <w:jc w:val="center"/>
      </w:pPr>
      <w:r>
        <w:rPr>
          <w:b/>
          <w:sz w:val="18"/>
        </w:rPr>
        <w:t>Tabel 2. Validasi dataset sebelum eksperimen.</w:t>
      </w:r>
    </w:p>
    <w:tbl>
      <w:tblPr>
        <w:tblStyle w:val="TableGrid"/>
        <w:tblW w:type="auto" w:w="0"/>
        <w:jc w:val="center"/>
        <w:tblLook w:firstColumn="1" w:firstRow="1" w:lastColumn="0" w:lastRow="0" w:noHBand="0" w:noVBand="1" w:val="04A0"/>
      </w:tblPr>
      <w:tblGrid>
        <w:gridCol w:w="4901"/>
        <w:gridCol w:w="4901"/>
      </w:tblGrid>
      <w:tr>
        <w:trPr>
          <w:tblHeader w:val="true"/>
        </w:trPr>
        <w:tc>
          <w:tcPr>
            <w:tcW w:type="dxa" w:w="4752"/>
            <w:shd w:fill="E7E5DF"/>
            <w:tcMar>
              <w:top w:w="100" w:type="dxa"/>
              <w:start w:w="120" w:type="dxa"/>
              <w:bottom w:w="100" w:type="dxa"/>
              <w:end w:w="120" w:type="dxa"/>
            </w:tcMar>
            <w:vAlign w:val="center"/>
          </w:tcPr>
          <w:p>
            <w:r>
              <w:rPr>
                <w:b/>
                <w:sz w:val="17"/>
              </w:rPr>
              <w:t>check</w:t>
            </w:r>
          </w:p>
        </w:tc>
        <w:tc>
          <w:tcPr>
            <w:tcW w:type="dxa" w:w="2304"/>
            <w:shd w:fill="E7E5DF"/>
            <w:tcMar>
              <w:top w:w="100" w:type="dxa"/>
              <w:start w:w="120" w:type="dxa"/>
              <w:bottom w:w="100" w:type="dxa"/>
              <w:end w:w="120" w:type="dxa"/>
            </w:tcMar>
            <w:vAlign w:val="center"/>
          </w:tcPr>
          <w:p>
            <w:r>
              <w:rPr>
                <w:b/>
                <w:sz w:val="17"/>
              </w:rPr>
              <w:t>status</w:t>
            </w:r>
          </w:p>
        </w:tc>
      </w:tr>
      <w:tr>
        <w:tc>
          <w:tcPr>
            <w:tcW w:type="dxa" w:w="4752"/>
            <w:tcMar>
              <w:top w:w="100" w:type="dxa"/>
              <w:start w:w="120" w:type="dxa"/>
              <w:bottom w:w="100" w:type="dxa"/>
              <w:end w:w="120" w:type="dxa"/>
            </w:tcMar>
            <w:vAlign w:val="center"/>
          </w:tcPr>
          <w:p>
            <w:pPr>
              <w:spacing w:after="0"/>
            </w:pPr>
            <w:r>
              <w:rPr>
                <w:sz w:val="17"/>
              </w:rPr>
              <w:t>duplicate_sample_id</w:t>
            </w:r>
          </w:p>
        </w:tc>
        <w:tc>
          <w:tcPr>
            <w:tcW w:type="dxa" w:w="2304"/>
            <w:tcMar>
              <w:top w:w="100" w:type="dxa"/>
              <w:start w:w="120" w:type="dxa"/>
              <w:bottom w:w="100" w:type="dxa"/>
              <w:end w:w="120" w:type="dxa"/>
            </w:tcMar>
            <w:vAlign w:val="center"/>
          </w:tcPr>
          <w:p>
            <w:pPr>
              <w:spacing w:after="0"/>
            </w:pPr>
            <w:r>
              <w:rPr>
                <w:sz w:val="17"/>
              </w:rPr>
              <w:t>pass</w:t>
            </w:r>
          </w:p>
        </w:tc>
      </w:tr>
      <w:tr>
        <w:tc>
          <w:tcPr>
            <w:tcW w:type="dxa" w:w="4752"/>
            <w:tcMar>
              <w:top w:w="100" w:type="dxa"/>
              <w:start w:w="120" w:type="dxa"/>
              <w:bottom w:w="100" w:type="dxa"/>
              <w:end w:w="120" w:type="dxa"/>
            </w:tcMar>
            <w:vAlign w:val="center"/>
          </w:tcPr>
          <w:p>
            <w:pPr>
              <w:spacing w:after="0"/>
            </w:pPr>
            <w:r>
              <w:rPr>
                <w:sz w:val="17"/>
              </w:rPr>
              <w:t>missing_timestamp</w:t>
            </w:r>
          </w:p>
        </w:tc>
        <w:tc>
          <w:tcPr>
            <w:tcW w:type="dxa" w:w="2304"/>
            <w:tcMar>
              <w:top w:w="100" w:type="dxa"/>
              <w:start w:w="120" w:type="dxa"/>
              <w:bottom w:w="100" w:type="dxa"/>
              <w:end w:w="120" w:type="dxa"/>
            </w:tcMar>
            <w:vAlign w:val="center"/>
          </w:tcPr>
          <w:p>
            <w:pPr>
              <w:spacing w:after="0"/>
            </w:pPr>
            <w:r>
              <w:rPr>
                <w:sz w:val="17"/>
              </w:rPr>
              <w:t>pass</w:t>
            </w:r>
          </w:p>
        </w:tc>
      </w:tr>
      <w:tr>
        <w:tc>
          <w:tcPr>
            <w:tcW w:type="dxa" w:w="4752"/>
            <w:tcMar>
              <w:top w:w="100" w:type="dxa"/>
              <w:start w:w="120" w:type="dxa"/>
              <w:bottom w:w="100" w:type="dxa"/>
              <w:end w:w="120" w:type="dxa"/>
            </w:tcMar>
            <w:vAlign w:val="center"/>
          </w:tcPr>
          <w:p>
            <w:pPr>
              <w:spacing w:after="0"/>
            </w:pPr>
            <w:r>
              <w:rPr>
                <w:sz w:val="17"/>
              </w:rPr>
              <w:t>missing_cluster_id</w:t>
            </w:r>
          </w:p>
        </w:tc>
        <w:tc>
          <w:tcPr>
            <w:tcW w:type="dxa" w:w="2304"/>
            <w:tcMar>
              <w:top w:w="100" w:type="dxa"/>
              <w:start w:w="120" w:type="dxa"/>
              <w:bottom w:w="100" w:type="dxa"/>
              <w:end w:w="120" w:type="dxa"/>
            </w:tcMar>
            <w:vAlign w:val="center"/>
          </w:tcPr>
          <w:p>
            <w:pPr>
              <w:spacing w:after="0"/>
            </w:pPr>
            <w:r>
              <w:rPr>
                <w:sz w:val="17"/>
              </w:rPr>
              <w:t>pass</w:t>
            </w:r>
          </w:p>
        </w:tc>
      </w:tr>
      <w:tr>
        <w:tc>
          <w:tcPr>
            <w:tcW w:type="dxa" w:w="4752"/>
            <w:tcMar>
              <w:top w:w="100" w:type="dxa"/>
              <w:start w:w="120" w:type="dxa"/>
              <w:bottom w:w="100" w:type="dxa"/>
              <w:end w:w="120" w:type="dxa"/>
            </w:tcMar>
            <w:vAlign w:val="center"/>
          </w:tcPr>
          <w:p>
            <w:pPr>
              <w:spacing w:after="0"/>
            </w:pPr>
            <w:r>
              <w:rPr>
                <w:sz w:val="17"/>
              </w:rPr>
              <w:t>processed_entities_masked</w:t>
            </w:r>
          </w:p>
        </w:tc>
        <w:tc>
          <w:tcPr>
            <w:tcW w:type="dxa" w:w="2304"/>
            <w:tcMar>
              <w:top w:w="100" w:type="dxa"/>
              <w:start w:w="120" w:type="dxa"/>
              <w:bottom w:w="100" w:type="dxa"/>
              <w:end w:w="120" w:type="dxa"/>
            </w:tcMar>
            <w:vAlign w:val="center"/>
          </w:tcPr>
          <w:p>
            <w:pPr>
              <w:spacing w:after="0"/>
            </w:pPr>
            <w:r>
              <w:rPr>
                <w:sz w:val="17"/>
              </w:rPr>
              <w:t>pass</w:t>
            </w:r>
          </w:p>
        </w:tc>
      </w:tr>
      <w:tr>
        <w:tc>
          <w:tcPr>
            <w:tcW w:type="dxa" w:w="4752"/>
            <w:tcMar>
              <w:top w:w="100" w:type="dxa"/>
              <w:start w:w="120" w:type="dxa"/>
              <w:bottom w:w="100" w:type="dxa"/>
              <w:end w:w="120" w:type="dxa"/>
            </w:tcMar>
            <w:vAlign w:val="center"/>
          </w:tcPr>
          <w:p>
            <w:pPr>
              <w:spacing w:after="0"/>
            </w:pPr>
            <w:r>
              <w:rPr>
                <w:sz w:val="17"/>
              </w:rPr>
              <w:t>no_duplicate_sample_period</w:t>
            </w:r>
          </w:p>
        </w:tc>
        <w:tc>
          <w:tcPr>
            <w:tcW w:type="dxa" w:w="2304"/>
            <w:tcMar>
              <w:top w:w="100" w:type="dxa"/>
              <w:start w:w="120" w:type="dxa"/>
              <w:bottom w:w="100" w:type="dxa"/>
              <w:end w:w="120" w:type="dxa"/>
            </w:tcMar>
            <w:vAlign w:val="center"/>
          </w:tcPr>
          <w:p>
            <w:pPr>
              <w:spacing w:after="0"/>
            </w:pPr>
            <w:r>
              <w:rPr>
                <w:sz w:val="17"/>
              </w:rPr>
              <w:t>pass</w:t>
            </w:r>
          </w:p>
        </w:tc>
      </w:tr>
    </w:tbl>
    <w:p/>
    <w:p>
      <w:pPr>
        <w:pStyle w:val="BodyText"/>
        <w:jc w:val="both"/>
      </w:pPr>
      <w:r>
        <w:t>Target utama adalah skor prioritas tinjauan cluster. Label konten menggunakan empat kelas operasional: benign, suspicious, promotional, dan unknown. Untuk eksperimen awal, suspicious dan promotional dianggap positif pada tugas klasifikasi konten. Untuk ranking cluster, relevansi dihitung dari kombinasi share konten positif, share promotional, jumlah platform, dan jumlah entitas.</w:t>
      </w:r>
    </w:p>
    <w:p>
      <w:pPr>
        <w:pStyle w:val="BodyText"/>
        <w:jc w:val="both"/>
      </w:pPr>
      <w:r>
        <w:t>Strategi split menggunakan holdout berbasis waktu: empat bulan terbaru menjadi data uji. Fitur graf yang dipakai pada klasifikasi dihitung secara historis sampai waktu sampel sehingga tidak melihat bukti masa depan. Snapshot ranking akhir tetap menggunakan seluruh data karena ia merepresentasikan kondisi saat sistem dijalankan untuk triase terkini.</w:t>
      </w:r>
    </w:p>
    <w:p>
      <w:pPr>
        <w:keepNext/>
        <w:jc w:val="center"/>
      </w:pPr>
      <w:r>
        <w:rPr>
          <w:b/>
          <w:sz w:val="18"/>
        </w:rPr>
        <w:t>Tabel 3. Sumber resmi yang menjadi konteks dan rencana integrasi.</w:t>
      </w:r>
    </w:p>
    <w:tbl>
      <w:tblPr>
        <w:tblStyle w:val="TableGrid"/>
        <w:tblW w:type="auto" w:w="0"/>
        <w:jc w:val="center"/>
        <w:tblLook w:firstColumn="1" w:firstRow="1" w:lastColumn="0" w:lastRow="0" w:noHBand="0" w:noVBand="1" w:val="04A0"/>
      </w:tblPr>
      <w:tblGrid>
        <w:gridCol w:w="3267"/>
        <w:gridCol w:w="3267"/>
        <w:gridCol w:w="3267"/>
      </w:tblGrid>
      <w:tr>
        <w:trPr>
          <w:tblHeader w:val="true"/>
        </w:trPr>
        <w:tc>
          <w:tcPr>
            <w:tcW w:type="dxa" w:w="3024"/>
            <w:shd w:fill="E7E5DF"/>
            <w:tcMar>
              <w:top w:w="100" w:type="dxa"/>
              <w:start w:w="120" w:type="dxa"/>
              <w:bottom w:w="100" w:type="dxa"/>
              <w:end w:w="120" w:type="dxa"/>
            </w:tcMar>
            <w:vAlign w:val="center"/>
          </w:tcPr>
          <w:p>
            <w:r>
              <w:rPr>
                <w:b/>
                <w:sz w:val="17"/>
              </w:rPr>
              <w:t>source</w:t>
            </w:r>
          </w:p>
        </w:tc>
        <w:tc>
          <w:tcPr>
            <w:tcW w:type="dxa" w:w="5184"/>
            <w:shd w:fill="E7E5DF"/>
            <w:tcMar>
              <w:top w:w="100" w:type="dxa"/>
              <w:start w:w="120" w:type="dxa"/>
              <w:bottom w:w="100" w:type="dxa"/>
              <w:end w:w="120" w:type="dxa"/>
            </w:tcMar>
            <w:vAlign w:val="center"/>
          </w:tcPr>
          <w:p>
            <w:r>
              <w:rPr>
                <w:b/>
                <w:sz w:val="17"/>
              </w:rPr>
              <w:t>role</w:t>
            </w:r>
          </w:p>
        </w:tc>
        <w:tc>
          <w:tcPr>
            <w:tcW w:type="dxa" w:w="1296"/>
            <w:shd w:fill="E7E5DF"/>
            <w:tcMar>
              <w:top w:w="100" w:type="dxa"/>
              <w:start w:w="120" w:type="dxa"/>
              <w:bottom w:w="100" w:type="dxa"/>
              <w:end w:w="120" w:type="dxa"/>
            </w:tcMar>
            <w:vAlign w:val="center"/>
          </w:tcPr>
          <w:p>
            <w:r>
              <w:rPr>
                <w:b/>
                <w:sz w:val="17"/>
              </w:rPr>
              <w:t>status</w:t>
            </w:r>
          </w:p>
        </w:tc>
      </w:tr>
      <w:tr>
        <w:tc>
          <w:tcPr>
            <w:tcW w:type="dxa" w:w="3024"/>
            <w:tcMar>
              <w:top w:w="100" w:type="dxa"/>
              <w:start w:w="120" w:type="dxa"/>
              <w:bottom w:w="100" w:type="dxa"/>
              <w:end w:w="120" w:type="dxa"/>
            </w:tcMar>
            <w:vAlign w:val="center"/>
          </w:tcPr>
          <w:p>
            <w:pPr>
              <w:spacing w:after="0"/>
            </w:pPr>
            <w:r>
              <w:rPr>
                <w:sz w:val="17"/>
              </w:rPr>
              <w:t>Komdigi - content takedown and public reporting</w:t>
            </w:r>
          </w:p>
        </w:tc>
        <w:tc>
          <w:tcPr>
            <w:tcW w:type="dxa" w:w="5184"/>
            <w:tcMar>
              <w:top w:w="100" w:type="dxa"/>
              <w:start w:w="120" w:type="dxa"/>
              <w:bottom w:w="100" w:type="dxa"/>
              <w:end w:w="120" w:type="dxa"/>
            </w:tcMar>
            <w:vAlign w:val="center"/>
          </w:tcPr>
          <w:p>
            <w:pPr>
              <w:spacing w:after="0"/>
            </w:pPr>
            <w:r>
              <w:rPr>
                <w:sz w:val="17"/>
              </w:rPr>
              <w:t>Official framing and reported takedown count; used as context, not row-level labels.</w:t>
            </w:r>
          </w:p>
        </w:tc>
        <w:tc>
          <w:tcPr>
            <w:tcW w:type="dxa" w:w="1296"/>
            <w:tcMar>
              <w:top w:w="100" w:type="dxa"/>
              <w:start w:w="120" w:type="dxa"/>
              <w:bottom w:w="100" w:type="dxa"/>
              <w:end w:w="120" w:type="dxa"/>
            </w:tcMar>
            <w:vAlign w:val="center"/>
          </w:tcPr>
          <w:p>
            <w:pPr>
              <w:spacing w:after="0"/>
            </w:pPr>
            <w:r>
              <w:rPr>
                <w:sz w:val="17"/>
              </w:rPr>
              <w:t>catalogued</w:t>
            </w:r>
          </w:p>
        </w:tc>
      </w:tr>
      <w:tr>
        <w:tc>
          <w:tcPr>
            <w:tcW w:type="dxa" w:w="3024"/>
            <w:tcMar>
              <w:top w:w="100" w:type="dxa"/>
              <w:start w:w="120" w:type="dxa"/>
              <w:bottom w:w="100" w:type="dxa"/>
              <w:end w:w="120" w:type="dxa"/>
            </w:tcMar>
            <w:vAlign w:val="center"/>
          </w:tcPr>
          <w:p>
            <w:pPr>
              <w:spacing w:after="0"/>
            </w:pPr>
            <w:r>
              <w:rPr>
                <w:sz w:val="17"/>
              </w:rPr>
              <w:t>Komdigi - SAMAN and judol monitoring</w:t>
            </w:r>
          </w:p>
        </w:tc>
        <w:tc>
          <w:tcPr>
            <w:tcW w:type="dxa" w:w="5184"/>
            <w:tcMar>
              <w:top w:w="100" w:type="dxa"/>
              <w:start w:w="120" w:type="dxa"/>
              <w:bottom w:w="100" w:type="dxa"/>
              <w:end w:w="120" w:type="dxa"/>
            </w:tcMar>
            <w:vAlign w:val="center"/>
          </w:tcPr>
          <w:p>
            <w:pPr>
              <w:spacing w:after="0"/>
            </w:pPr>
            <w:r>
              <w:rPr>
                <w:sz w:val="17"/>
              </w:rPr>
              <w:t>Official monitoring-system context and scale of content enforcement.</w:t>
            </w:r>
          </w:p>
        </w:tc>
        <w:tc>
          <w:tcPr>
            <w:tcW w:type="dxa" w:w="1296"/>
            <w:tcMar>
              <w:top w:w="100" w:type="dxa"/>
              <w:start w:w="120" w:type="dxa"/>
              <w:bottom w:w="100" w:type="dxa"/>
              <w:end w:w="120" w:type="dxa"/>
            </w:tcMar>
            <w:vAlign w:val="center"/>
          </w:tcPr>
          <w:p>
            <w:pPr>
              <w:spacing w:after="0"/>
            </w:pPr>
            <w:r>
              <w:rPr>
                <w:sz w:val="17"/>
              </w:rPr>
              <w:t>catalogued</w:t>
            </w:r>
          </w:p>
        </w:tc>
      </w:tr>
      <w:tr>
        <w:tc>
          <w:tcPr>
            <w:tcW w:type="dxa" w:w="3024"/>
            <w:tcMar>
              <w:top w:w="100" w:type="dxa"/>
              <w:start w:w="120" w:type="dxa"/>
              <w:bottom w:w="100" w:type="dxa"/>
              <w:end w:w="120" w:type="dxa"/>
            </w:tcMar>
            <w:vAlign w:val="center"/>
          </w:tcPr>
          <w:p>
            <w:pPr>
              <w:spacing w:after="0"/>
            </w:pPr>
            <w:r>
              <w:rPr>
                <w:sz w:val="17"/>
              </w:rPr>
              <w:t>Komdigi - reporting channels</w:t>
            </w:r>
          </w:p>
        </w:tc>
        <w:tc>
          <w:tcPr>
            <w:tcW w:type="dxa" w:w="5184"/>
            <w:tcMar>
              <w:top w:w="100" w:type="dxa"/>
              <w:start w:w="120" w:type="dxa"/>
              <w:bottom w:w="100" w:type="dxa"/>
              <w:end w:w="120" w:type="dxa"/>
            </w:tcMar>
            <w:vAlign w:val="center"/>
          </w:tcPr>
          <w:p>
            <w:pPr>
              <w:spacing w:after="0"/>
            </w:pPr>
            <w:r>
              <w:rPr>
                <w:sz w:val="17"/>
              </w:rPr>
              <w:t>Official public reporting-channel context for AduanKonten and CekRekening.</w:t>
            </w:r>
          </w:p>
        </w:tc>
        <w:tc>
          <w:tcPr>
            <w:tcW w:type="dxa" w:w="1296"/>
            <w:tcMar>
              <w:top w:w="100" w:type="dxa"/>
              <w:start w:w="120" w:type="dxa"/>
              <w:bottom w:w="100" w:type="dxa"/>
              <w:end w:w="120" w:type="dxa"/>
            </w:tcMar>
            <w:vAlign w:val="center"/>
          </w:tcPr>
          <w:p>
            <w:pPr>
              <w:spacing w:after="0"/>
            </w:pPr>
            <w:r>
              <w:rPr>
                <w:sz w:val="17"/>
              </w:rPr>
              <w:t>catalogued</w:t>
            </w:r>
          </w:p>
        </w:tc>
      </w:tr>
      <w:tr>
        <w:tc>
          <w:tcPr>
            <w:tcW w:type="dxa" w:w="3024"/>
            <w:tcMar>
              <w:top w:w="100" w:type="dxa"/>
              <w:start w:w="120" w:type="dxa"/>
              <w:bottom w:w="100" w:type="dxa"/>
              <w:end w:w="120" w:type="dxa"/>
            </w:tcMar>
            <w:vAlign w:val="center"/>
          </w:tcPr>
          <w:p>
            <w:pPr>
              <w:spacing w:after="0"/>
            </w:pPr>
            <w:r>
              <w:rPr>
                <w:sz w:val="17"/>
              </w:rPr>
              <w:t>PPATK - judol transaction exposure</w:t>
            </w:r>
          </w:p>
        </w:tc>
        <w:tc>
          <w:tcPr>
            <w:tcW w:type="dxa" w:w="5184"/>
            <w:tcMar>
              <w:top w:w="100" w:type="dxa"/>
              <w:start w:w="120" w:type="dxa"/>
              <w:bottom w:w="100" w:type="dxa"/>
              <w:end w:w="120" w:type="dxa"/>
            </w:tcMar>
            <w:vAlign w:val="center"/>
          </w:tcPr>
          <w:p>
            <w:pPr>
              <w:spacing w:after="0"/>
            </w:pPr>
            <w:r>
              <w:rPr>
                <w:sz w:val="17"/>
              </w:rPr>
              <w:t>Financial-risk context for social impact and motivation.</w:t>
            </w:r>
          </w:p>
        </w:tc>
        <w:tc>
          <w:tcPr>
            <w:tcW w:type="dxa" w:w="1296"/>
            <w:tcMar>
              <w:top w:w="100" w:type="dxa"/>
              <w:start w:w="120" w:type="dxa"/>
              <w:bottom w:w="100" w:type="dxa"/>
              <w:end w:w="120" w:type="dxa"/>
            </w:tcMar>
            <w:vAlign w:val="center"/>
          </w:tcPr>
          <w:p>
            <w:pPr>
              <w:spacing w:after="0"/>
            </w:pPr>
            <w:r>
              <w:rPr>
                <w:sz w:val="17"/>
              </w:rPr>
              <w:t>catalogued</w:t>
            </w:r>
          </w:p>
        </w:tc>
      </w:tr>
      <w:tr>
        <w:tc>
          <w:tcPr>
            <w:tcW w:type="dxa" w:w="3024"/>
            <w:tcMar>
              <w:top w:w="100" w:type="dxa"/>
              <w:start w:w="120" w:type="dxa"/>
              <w:bottom w:w="100" w:type="dxa"/>
              <w:end w:w="120" w:type="dxa"/>
            </w:tcMar>
            <w:vAlign w:val="center"/>
          </w:tcPr>
          <w:p>
            <w:pPr>
              <w:spacing w:after="0"/>
            </w:pPr>
            <w:r>
              <w:rPr>
                <w:sz w:val="17"/>
              </w:rPr>
              <w:t>OJK - banking response to online gambling accounts</w:t>
            </w:r>
          </w:p>
        </w:tc>
        <w:tc>
          <w:tcPr>
            <w:tcW w:type="dxa" w:w="5184"/>
            <w:tcMar>
              <w:top w:w="100" w:type="dxa"/>
              <w:start w:w="120" w:type="dxa"/>
              <w:bottom w:w="100" w:type="dxa"/>
              <w:end w:w="120" w:type="dxa"/>
            </w:tcMar>
            <w:vAlign w:val="center"/>
          </w:tcPr>
          <w:p>
            <w:pPr>
              <w:spacing w:after="0"/>
            </w:pPr>
            <w:r>
              <w:rPr>
                <w:sz w:val="17"/>
              </w:rPr>
              <w:t>Financial-sector policy context; not used for individual account labeling.</w:t>
            </w:r>
          </w:p>
        </w:tc>
        <w:tc>
          <w:tcPr>
            <w:tcW w:type="dxa" w:w="1296"/>
            <w:tcMar>
              <w:top w:w="100" w:type="dxa"/>
              <w:start w:w="120" w:type="dxa"/>
              <w:bottom w:w="100" w:type="dxa"/>
              <w:end w:w="120" w:type="dxa"/>
            </w:tcMar>
            <w:vAlign w:val="center"/>
          </w:tcPr>
          <w:p>
            <w:pPr>
              <w:spacing w:after="0"/>
            </w:pPr>
            <w:r>
              <w:rPr>
                <w:sz w:val="17"/>
              </w:rPr>
              <w:t>catalogued</w:t>
            </w:r>
          </w:p>
        </w:tc>
      </w:tr>
      <w:tr>
        <w:tc>
          <w:tcPr>
            <w:tcW w:type="dxa" w:w="3024"/>
            <w:tcMar>
              <w:top w:w="100" w:type="dxa"/>
              <w:start w:w="120" w:type="dxa"/>
              <w:bottom w:w="100" w:type="dxa"/>
              <w:end w:w="120" w:type="dxa"/>
            </w:tcMar>
            <w:vAlign w:val="center"/>
          </w:tcPr>
          <w:p>
            <w:pPr>
              <w:spacing w:after="0"/>
            </w:pPr>
            <w:r>
              <w:rPr>
                <w:sz w:val="17"/>
              </w:rPr>
              <w:t>generated_demo_anonymized_content_samples.csv</w:t>
            </w:r>
          </w:p>
        </w:tc>
        <w:tc>
          <w:tcPr>
            <w:tcW w:type="dxa" w:w="5184"/>
            <w:tcMar>
              <w:top w:w="100" w:type="dxa"/>
              <w:start w:w="120" w:type="dxa"/>
              <w:bottom w:w="100" w:type="dxa"/>
              <w:end w:w="120" w:type="dxa"/>
            </w:tcMar>
            <w:vAlign w:val="center"/>
          </w:tcPr>
          <w:p>
            <w:pPr>
              <w:spacing w:after="0"/>
            </w:pPr>
            <w:r>
              <w:rPr>
                <w:sz w:val="17"/>
              </w:rPr>
              <w:t>Row-level corpus for reproducible prototype.</w:t>
            </w:r>
          </w:p>
        </w:tc>
        <w:tc>
          <w:tcPr>
            <w:tcW w:type="dxa" w:w="1296"/>
            <w:tcMar>
              <w:top w:w="100" w:type="dxa"/>
              <w:start w:w="120" w:type="dxa"/>
              <w:bottom w:w="100" w:type="dxa"/>
              <w:end w:w="120" w:type="dxa"/>
            </w:tcMar>
            <w:vAlign w:val="center"/>
          </w:tcPr>
          <w:p>
            <w:pPr>
              <w:spacing w:after="0"/>
            </w:pPr>
            <w:r>
              <w:rPr>
                <w:sz w:val="17"/>
              </w:rPr>
              <w:t>loaded</w:t>
            </w:r>
          </w:p>
        </w:tc>
      </w:tr>
    </w:tbl>
    <w:p/>
    <w:p>
      <w:pPr>
        <w:pStyle w:val="Heading1"/>
        <w:keepNext/>
      </w:pPr>
      <w:r>
        <w:t>4. Metodologi</w:t>
      </w:r>
    </w:p>
    <w:p>
      <w:pPr>
        <w:pStyle w:val="BodyText"/>
        <w:jc w:val="both"/>
      </w:pPr>
      <w:r>
        <w:t>JudolFlow-X terdiri atas lima tahap. Tahap pertama melakukan normalisasi teks: lowercasing, penggantian karakter obfuscation umum, pembersihan URL, dan tokenisasi sederhana. Tahap kedua mengekstraksi entitas dengan regex konservatif untuk domain, handle, nomor kontak, dan petunjuk pembayaran. Tahap ketiga membentuk graf heterogen sample-entity dan entity-entity melalui ko-kemunculan dalam sampel yang sama.</w:t>
      </w:r>
    </w:p>
    <w:p>
      <w:pPr>
        <w:pStyle w:val="BodyText"/>
        <w:jc w:val="both"/>
      </w:pPr>
      <w:r>
        <w:t>Tahap keempat melatih model StumpBoost, yaitu boosting ringan berbasis decision stump pada fitur teks, entitas, sumber, dan graf historis. Model ini dipilih karena mudah dijelaskan, tidak membutuhkan dependency berat, dan cukup kuat sebagai baseline kompetitif. Tahap kelima menggabungkan skor model, skor graf, jumlah entitas, jumlah domain, dan jangkauan platform menjadi priority_score cluster.</w:t>
      </w:r>
    </w:p>
    <w:p>
      <w:pPr>
        <w:pStyle w:val="ListBullet"/>
        <w:spacing w:after="60"/>
      </w:pPr>
      <w:r>
        <w:t>Baseline acak mengukur performa tanpa informasi.</w:t>
      </w:r>
    </w:p>
    <w:p>
      <w:pPr>
        <w:pStyle w:val="ListBullet"/>
        <w:spacing w:after="60"/>
      </w:pPr>
      <w:r>
        <w:t>Weighted index baseline memberi pembanding transparan berbasis bobot fitur.</w:t>
      </w:r>
    </w:p>
    <w:p>
      <w:pPr>
        <w:pStyle w:val="ListBullet"/>
        <w:spacing w:after="60"/>
      </w:pPr>
      <w:r>
        <w:t>StumpBoost JudolFlow menjadi model utama yang belajar dari kombinasi fitur.</w:t>
      </w:r>
    </w:p>
    <w:p>
      <w:pPr>
        <w:pStyle w:val="ListBullet"/>
        <w:spacing w:after="60"/>
      </w:pPr>
      <w:r>
        <w:t>Ablation study menghapus keluarga fitur untuk melihat kontribusi teks, entitas, graf, dan sumber.</w:t>
      </w:r>
    </w:p>
    <w:p>
      <w:pPr>
        <w:pStyle w:val="ListBullet"/>
        <w:spacing w:after="60"/>
      </w:pPr>
      <w:r>
        <w:t>Bootstrap Top-K overlap menguji stabilitas ranking terhadap variasi sampel.</w:t>
      </w:r>
    </w:p>
    <w:p>
      <w:pPr>
        <w:keepNext/>
        <w:jc w:val="center"/>
      </w:pPr>
      <w:r>
        <w:drawing>
          <wp:inline xmlns:a="http://schemas.openxmlformats.org/drawingml/2006/main" xmlns:pic="http://schemas.openxmlformats.org/drawingml/2006/picture">
            <wp:extent cx="5303520" cy="3664250"/>
            <wp:docPr id="1" name="Picture 1"/>
            <wp:cNvGraphicFramePr>
              <a:graphicFrameLocks noChangeAspect="1"/>
            </wp:cNvGraphicFramePr>
            <a:graphic>
              <a:graphicData uri="http://schemas.openxmlformats.org/drawingml/2006/picture">
                <pic:pic>
                  <pic:nvPicPr>
                    <pic:cNvPr id="0" name="cluster_risk_quadrant.png"/>
                    <pic:cNvPicPr/>
                  </pic:nvPicPr>
                  <pic:blipFill>
                    <a:blip r:embed="rId9"/>
                    <a:stretch>
                      <a:fillRect/>
                    </a:stretch>
                  </pic:blipFill>
                  <pic:spPr>
                    <a:xfrm>
                      <a:off x="0" y="0"/>
                      <a:ext cx="5303520" cy="3664250"/>
                    </a:xfrm>
                    <a:prstGeom prst="rect"/>
                  </pic:spPr>
                </pic:pic>
              </a:graphicData>
            </a:graphic>
          </wp:inline>
        </w:drawing>
      </w:r>
    </w:p>
    <w:p>
      <w:pPr>
        <w:spacing w:before="40" w:after="160"/>
        <w:jc w:val="center"/>
      </w:pPr>
      <w:r>
        <w:rPr>
          <w:i/>
          <w:sz w:val="18"/>
        </w:rPr>
        <w:t>Gambar 1. Kuadran risiko cluster berdasarkan sinyal teks dan bukti graf.</w:t>
      </w:r>
    </w:p>
    <w:p>
      <w:r>
        <w:br w:type="page"/>
      </w:r>
    </w:p>
    <w:p>
      <w:pPr>
        <w:pStyle w:val="Heading1"/>
        <w:keepNext/>
      </w:pPr>
      <w:r>
        <w:t>5. Eksperimen dan Hasil</w:t>
      </w:r>
    </w:p>
    <w:p>
      <w:pPr>
        <w:keepNext/>
        <w:jc w:val="center"/>
      </w:pPr>
      <w:r>
        <w:rPr>
          <w:b/>
          <w:sz w:val="18"/>
        </w:rPr>
        <w:t>Tabel 4. Hasil klasifikasi konten pada holdout waktu.</w:t>
      </w:r>
    </w:p>
    <w:tbl>
      <w:tblPr>
        <w:tblStyle w:val="TableGrid"/>
        <w:tblW w:type="auto" w:w="0"/>
        <w:jc w:val="center"/>
        <w:tblLook w:firstColumn="1" w:firstRow="1" w:lastColumn="0" w:lastRow="0" w:noHBand="0" w:noVBand="1" w:val="04A0"/>
      </w:tblPr>
      <w:tblGrid>
        <w:gridCol w:w="1634"/>
        <w:gridCol w:w="1634"/>
        <w:gridCol w:w="1634"/>
        <w:gridCol w:w="1634"/>
        <w:gridCol w:w="1634"/>
        <w:gridCol w:w="1634"/>
      </w:tblGrid>
      <w:tr>
        <w:trPr>
          <w:tblHeader w:val="true"/>
        </w:trPr>
        <w:tc>
          <w:tcPr>
            <w:tcW w:type="dxa" w:w="2592"/>
            <w:shd w:fill="E7E5DF"/>
            <w:tcMar>
              <w:top w:w="100" w:type="dxa"/>
              <w:start w:w="120" w:type="dxa"/>
              <w:bottom w:w="100" w:type="dxa"/>
              <w:end w:w="120" w:type="dxa"/>
            </w:tcMar>
            <w:vAlign w:val="center"/>
          </w:tcPr>
          <w:p>
            <w:r>
              <w:rPr>
                <w:b/>
                <w:sz w:val="17"/>
              </w:rPr>
              <w:t>model</w:t>
            </w:r>
          </w:p>
        </w:tc>
        <w:tc>
          <w:tcPr>
            <w:tcW w:type="dxa" w:w="1152"/>
            <w:shd w:fill="E7E5DF"/>
            <w:tcMar>
              <w:top w:w="100" w:type="dxa"/>
              <w:start w:w="120" w:type="dxa"/>
              <w:bottom w:w="100" w:type="dxa"/>
              <w:end w:w="120" w:type="dxa"/>
            </w:tcMar>
            <w:vAlign w:val="center"/>
          </w:tcPr>
          <w:p>
            <w:r>
              <w:rPr>
                <w:b/>
                <w:sz w:val="17"/>
              </w:rPr>
              <w:t>macro_f1</w:t>
            </w:r>
          </w:p>
        </w:tc>
        <w:tc>
          <w:tcPr>
            <w:tcW w:type="dxa" w:w="1152"/>
            <w:shd w:fill="E7E5DF"/>
            <w:tcMar>
              <w:top w:w="100" w:type="dxa"/>
              <w:start w:w="120" w:type="dxa"/>
              <w:bottom w:w="100" w:type="dxa"/>
              <w:end w:w="120" w:type="dxa"/>
            </w:tcMar>
            <w:vAlign w:val="center"/>
          </w:tcPr>
          <w:p>
            <w:r>
              <w:rPr>
                <w:b/>
                <w:sz w:val="17"/>
              </w:rPr>
              <w:t>pr_auc</w:t>
            </w:r>
          </w:p>
        </w:tc>
        <w:tc>
          <w:tcPr>
            <w:tcW w:type="dxa" w:w="1296"/>
            <w:shd w:fill="E7E5DF"/>
            <w:tcMar>
              <w:top w:w="100" w:type="dxa"/>
              <w:start w:w="120" w:type="dxa"/>
              <w:bottom w:w="100" w:type="dxa"/>
              <w:end w:w="120" w:type="dxa"/>
            </w:tcMar>
            <w:vAlign w:val="center"/>
          </w:tcPr>
          <w:p>
            <w:r>
              <w:rPr>
                <w:b/>
                <w:sz w:val="17"/>
              </w:rPr>
              <w:t>precision_at_k</w:t>
            </w:r>
          </w:p>
        </w:tc>
        <w:tc>
          <w:tcPr>
            <w:tcW w:type="dxa" w:w="1296"/>
            <w:shd w:fill="E7E5DF"/>
            <w:tcMar>
              <w:top w:w="100" w:type="dxa"/>
              <w:start w:w="120" w:type="dxa"/>
              <w:bottom w:w="100" w:type="dxa"/>
              <w:end w:w="120" w:type="dxa"/>
            </w:tcMar>
            <w:vAlign w:val="center"/>
          </w:tcPr>
          <w:p>
            <w:r>
              <w:rPr>
                <w:b/>
                <w:sz w:val="17"/>
              </w:rPr>
              <w:t>recall_at_k</w:t>
            </w:r>
          </w:p>
        </w:tc>
        <w:tc>
          <w:tcPr>
            <w:tcW w:type="dxa" w:w="1152"/>
            <w:shd w:fill="E7E5DF"/>
            <w:tcMar>
              <w:top w:w="100" w:type="dxa"/>
              <w:start w:w="120" w:type="dxa"/>
              <w:bottom w:w="100" w:type="dxa"/>
              <w:end w:w="120" w:type="dxa"/>
            </w:tcMar>
            <w:vAlign w:val="center"/>
          </w:tcPr>
          <w:p>
            <w:r>
              <w:rPr>
                <w:b/>
                <w:sz w:val="17"/>
              </w:rPr>
              <w:t>brier</w:t>
            </w:r>
          </w:p>
        </w:tc>
      </w:tr>
      <w:tr>
        <w:tc>
          <w:tcPr>
            <w:tcW w:type="dxa" w:w="2592"/>
            <w:tcMar>
              <w:top w:w="100" w:type="dxa"/>
              <w:start w:w="120" w:type="dxa"/>
              <w:bottom w:w="100" w:type="dxa"/>
              <w:end w:w="120" w:type="dxa"/>
            </w:tcMar>
            <w:vAlign w:val="center"/>
          </w:tcPr>
          <w:p>
            <w:pPr>
              <w:spacing w:after="0"/>
            </w:pPr>
            <w:r>
              <w:rPr>
                <w:sz w:val="17"/>
              </w:rPr>
              <w:t>Random baseline</w:t>
            </w:r>
          </w:p>
        </w:tc>
        <w:tc>
          <w:tcPr>
            <w:tcW w:type="dxa" w:w="1152"/>
            <w:tcMar>
              <w:top w:w="100" w:type="dxa"/>
              <w:start w:w="120" w:type="dxa"/>
              <w:bottom w:w="100" w:type="dxa"/>
              <w:end w:w="120" w:type="dxa"/>
            </w:tcMar>
            <w:vAlign w:val="center"/>
          </w:tcPr>
          <w:p>
            <w:pPr>
              <w:spacing w:after="0"/>
            </w:pPr>
            <w:r>
              <w:rPr>
                <w:sz w:val="17"/>
              </w:rPr>
              <w:t>0.471329</w:t>
            </w:r>
          </w:p>
        </w:tc>
        <w:tc>
          <w:tcPr>
            <w:tcW w:type="dxa" w:w="1152"/>
            <w:tcMar>
              <w:top w:w="100" w:type="dxa"/>
              <w:start w:w="120" w:type="dxa"/>
              <w:bottom w:w="100" w:type="dxa"/>
              <w:end w:w="120" w:type="dxa"/>
            </w:tcMar>
            <w:vAlign w:val="center"/>
          </w:tcPr>
          <w:p>
            <w:pPr>
              <w:spacing w:after="0"/>
            </w:pPr>
            <w:r>
              <w:rPr>
                <w:sz w:val="17"/>
              </w:rPr>
              <w:t>0.558938</w:t>
            </w:r>
          </w:p>
        </w:tc>
        <w:tc>
          <w:tcPr>
            <w:tcW w:type="dxa" w:w="1296"/>
            <w:tcMar>
              <w:top w:w="100" w:type="dxa"/>
              <w:start w:w="120" w:type="dxa"/>
              <w:bottom w:w="100" w:type="dxa"/>
              <w:end w:w="120" w:type="dxa"/>
            </w:tcMar>
            <w:vAlign w:val="center"/>
          </w:tcPr>
          <w:p>
            <w:pPr>
              <w:spacing w:after="0"/>
            </w:pPr>
            <w:r>
              <w:rPr>
                <w:sz w:val="17"/>
              </w:rPr>
              <w:t>0.333333</w:t>
            </w:r>
          </w:p>
        </w:tc>
        <w:tc>
          <w:tcPr>
            <w:tcW w:type="dxa" w:w="1296"/>
            <w:tcMar>
              <w:top w:w="100" w:type="dxa"/>
              <w:start w:w="120" w:type="dxa"/>
              <w:bottom w:w="100" w:type="dxa"/>
              <w:end w:w="120" w:type="dxa"/>
            </w:tcMar>
            <w:vAlign w:val="center"/>
          </w:tcPr>
          <w:p>
            <w:pPr>
              <w:spacing w:after="0"/>
            </w:pPr>
            <w:r>
              <w:rPr>
                <w:sz w:val="17"/>
              </w:rPr>
              <w:t>0.054348</w:t>
            </w:r>
          </w:p>
        </w:tc>
        <w:tc>
          <w:tcPr>
            <w:tcW w:type="dxa" w:w="1152"/>
            <w:tcMar>
              <w:top w:w="100" w:type="dxa"/>
              <w:start w:w="120" w:type="dxa"/>
              <w:bottom w:w="100" w:type="dxa"/>
              <w:end w:w="120" w:type="dxa"/>
            </w:tcMar>
            <w:vAlign w:val="center"/>
          </w:tcPr>
          <w:p>
            <w:pPr>
              <w:spacing w:after="0"/>
            </w:pPr>
            <w:r>
              <w:rPr>
                <w:sz w:val="17"/>
              </w:rPr>
              <w:t>0.343938</w:t>
            </w:r>
          </w:p>
        </w:tc>
      </w:tr>
      <w:tr>
        <w:tc>
          <w:tcPr>
            <w:tcW w:type="dxa" w:w="2592"/>
            <w:tcMar>
              <w:top w:w="100" w:type="dxa"/>
              <w:start w:w="120" w:type="dxa"/>
              <w:bottom w:w="100" w:type="dxa"/>
              <w:end w:w="120" w:type="dxa"/>
            </w:tcMar>
            <w:vAlign w:val="center"/>
          </w:tcPr>
          <w:p>
            <w:pPr>
              <w:spacing w:after="0"/>
            </w:pPr>
            <w:r>
              <w:rPr>
                <w:sz w:val="17"/>
              </w:rPr>
              <w:t>Weighted index baseline</w:t>
            </w:r>
          </w:p>
        </w:tc>
        <w:tc>
          <w:tcPr>
            <w:tcW w:type="dxa" w:w="1152"/>
            <w:tcMar>
              <w:top w:w="100" w:type="dxa"/>
              <w:start w:w="120" w:type="dxa"/>
              <w:bottom w:w="100" w:type="dxa"/>
              <w:end w:w="120" w:type="dxa"/>
            </w:tcMar>
            <w:vAlign w:val="center"/>
          </w:tcPr>
          <w:p>
            <w:pPr>
              <w:spacing w:after="0"/>
            </w:pPr>
            <w:r>
              <w:rPr>
                <w:sz w:val="17"/>
              </w:rPr>
              <w:t>0.745885</w:t>
            </w:r>
          </w:p>
        </w:tc>
        <w:tc>
          <w:tcPr>
            <w:tcW w:type="dxa" w:w="1152"/>
            <w:tcMar>
              <w:top w:w="100" w:type="dxa"/>
              <w:start w:w="120" w:type="dxa"/>
              <w:bottom w:w="100" w:type="dxa"/>
              <w:end w:w="120" w:type="dxa"/>
            </w:tcMar>
            <w:vAlign w:val="center"/>
          </w:tcPr>
          <w:p>
            <w:pPr>
              <w:spacing w:after="0"/>
            </w:pPr>
            <w:r>
              <w:rPr>
                <w:sz w:val="17"/>
              </w:rPr>
              <w:t>0.991781</w:t>
            </w:r>
          </w:p>
        </w:tc>
        <w:tc>
          <w:tcPr>
            <w:tcW w:type="dxa" w:w="1296"/>
            <w:tcMar>
              <w:top w:w="100" w:type="dxa"/>
              <w:start w:w="120" w:type="dxa"/>
              <w:bottom w:w="100" w:type="dxa"/>
              <w:end w:w="120" w:type="dxa"/>
            </w:tcMar>
            <w:vAlign w:val="center"/>
          </w:tcPr>
          <w:p>
            <w:pPr>
              <w:spacing w:after="0"/>
            </w:pPr>
            <w:r>
              <w:rPr>
                <w:sz w:val="17"/>
              </w:rPr>
              <w:t>1.0</w:t>
            </w:r>
          </w:p>
        </w:tc>
        <w:tc>
          <w:tcPr>
            <w:tcW w:type="dxa" w:w="1296"/>
            <w:tcMar>
              <w:top w:w="100" w:type="dxa"/>
              <w:start w:w="120" w:type="dxa"/>
              <w:bottom w:w="100" w:type="dxa"/>
              <w:end w:w="120" w:type="dxa"/>
            </w:tcMar>
            <w:vAlign w:val="center"/>
          </w:tcPr>
          <w:p>
            <w:pPr>
              <w:spacing w:after="0"/>
            </w:pPr>
            <w:r>
              <w:rPr>
                <w:sz w:val="17"/>
              </w:rPr>
              <w:t>0.163043</w:t>
            </w:r>
          </w:p>
        </w:tc>
        <w:tc>
          <w:tcPr>
            <w:tcW w:type="dxa" w:w="1152"/>
            <w:tcMar>
              <w:top w:w="100" w:type="dxa"/>
              <w:start w:w="120" w:type="dxa"/>
              <w:bottom w:w="100" w:type="dxa"/>
              <w:end w:w="120" w:type="dxa"/>
            </w:tcMar>
            <w:vAlign w:val="center"/>
          </w:tcPr>
          <w:p>
            <w:pPr>
              <w:spacing w:after="0"/>
            </w:pPr>
            <w:r>
              <w:rPr>
                <w:sz w:val="17"/>
              </w:rPr>
              <w:t>0.146792</w:t>
            </w:r>
          </w:p>
        </w:tc>
      </w:tr>
      <w:tr>
        <w:tc>
          <w:tcPr>
            <w:tcW w:type="dxa" w:w="2592"/>
            <w:tcMar>
              <w:top w:w="100" w:type="dxa"/>
              <w:start w:w="120" w:type="dxa"/>
              <w:bottom w:w="100" w:type="dxa"/>
              <w:end w:w="120" w:type="dxa"/>
            </w:tcMar>
            <w:vAlign w:val="center"/>
          </w:tcPr>
          <w:p>
            <w:pPr>
              <w:spacing w:after="0"/>
            </w:pPr>
            <w:r>
              <w:rPr>
                <w:sz w:val="17"/>
              </w:rPr>
              <w:t>StumpBoost JudolFlow</w:t>
            </w:r>
          </w:p>
        </w:tc>
        <w:tc>
          <w:tcPr>
            <w:tcW w:type="dxa" w:w="1152"/>
            <w:tcMar>
              <w:top w:w="100" w:type="dxa"/>
              <w:start w:w="120" w:type="dxa"/>
              <w:bottom w:w="100" w:type="dxa"/>
              <w:end w:w="120" w:type="dxa"/>
            </w:tcMar>
            <w:vAlign w:val="center"/>
          </w:tcPr>
          <w:p>
            <w:pPr>
              <w:spacing w:after="0"/>
            </w:pPr>
            <w:r>
              <w:rPr>
                <w:sz w:val="17"/>
              </w:rPr>
              <w:t>0.993232</w:t>
            </w:r>
          </w:p>
        </w:tc>
        <w:tc>
          <w:tcPr>
            <w:tcW w:type="dxa" w:w="1152"/>
            <w:tcMar>
              <w:top w:w="100" w:type="dxa"/>
              <w:start w:w="120" w:type="dxa"/>
              <w:bottom w:w="100" w:type="dxa"/>
              <w:end w:w="120" w:type="dxa"/>
            </w:tcMar>
            <w:vAlign w:val="center"/>
          </w:tcPr>
          <w:p>
            <w:pPr>
              <w:spacing w:after="0"/>
            </w:pPr>
            <w:r>
              <w:rPr>
                <w:sz w:val="17"/>
              </w:rPr>
              <w:t>1.0</w:t>
            </w:r>
          </w:p>
        </w:tc>
        <w:tc>
          <w:tcPr>
            <w:tcW w:type="dxa" w:w="1296"/>
            <w:tcMar>
              <w:top w:w="100" w:type="dxa"/>
              <w:start w:w="120" w:type="dxa"/>
              <w:bottom w:w="100" w:type="dxa"/>
              <w:end w:w="120" w:type="dxa"/>
            </w:tcMar>
            <w:vAlign w:val="center"/>
          </w:tcPr>
          <w:p>
            <w:pPr>
              <w:spacing w:after="0"/>
            </w:pPr>
            <w:r>
              <w:rPr>
                <w:sz w:val="17"/>
              </w:rPr>
              <w:t>1.0</w:t>
            </w:r>
          </w:p>
        </w:tc>
        <w:tc>
          <w:tcPr>
            <w:tcW w:type="dxa" w:w="1296"/>
            <w:tcMar>
              <w:top w:w="100" w:type="dxa"/>
              <w:start w:w="120" w:type="dxa"/>
              <w:bottom w:w="100" w:type="dxa"/>
              <w:end w:w="120" w:type="dxa"/>
            </w:tcMar>
            <w:vAlign w:val="center"/>
          </w:tcPr>
          <w:p>
            <w:pPr>
              <w:spacing w:after="0"/>
            </w:pPr>
            <w:r>
              <w:rPr>
                <w:sz w:val="17"/>
              </w:rPr>
              <w:t>0.163043</w:t>
            </w:r>
          </w:p>
        </w:tc>
        <w:tc>
          <w:tcPr>
            <w:tcW w:type="dxa" w:w="1152"/>
            <w:tcMar>
              <w:top w:w="100" w:type="dxa"/>
              <w:start w:w="120" w:type="dxa"/>
              <w:bottom w:w="100" w:type="dxa"/>
              <w:end w:w="120" w:type="dxa"/>
            </w:tcMar>
            <w:vAlign w:val="center"/>
          </w:tcPr>
          <w:p>
            <w:pPr>
              <w:spacing w:after="0"/>
            </w:pPr>
            <w:r>
              <w:rPr>
                <w:sz w:val="17"/>
              </w:rPr>
              <w:t>0.015873</w:t>
            </w:r>
          </w:p>
        </w:tc>
      </w:tr>
    </w:tbl>
    <w:p/>
    <w:p>
      <w:pPr>
        <w:keepNext/>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303520" cy="3182112"/>
                    </a:xfrm>
                    <a:prstGeom prst="rect"/>
                  </pic:spPr>
                </pic:pic>
              </a:graphicData>
            </a:graphic>
          </wp:inline>
        </w:drawing>
      </w:r>
    </w:p>
    <w:p>
      <w:pPr>
        <w:spacing w:before="40" w:after="160"/>
        <w:jc w:val="center"/>
      </w:pPr>
      <w:r>
        <w:rPr>
          <w:i/>
          <w:sz w:val="18"/>
        </w:rPr>
        <w:t>Gambar 2. Perbandingan PR-AUC model klasifikasi konten.</w:t>
      </w:r>
    </w:p>
    <w:p>
      <w:pPr>
        <w:keepNext/>
        <w:jc w:val="center"/>
      </w:pPr>
      <w:r>
        <w:rPr>
          <w:b/>
          <w:sz w:val="18"/>
        </w:rPr>
        <w:t>Tabel 5. Hasil evaluasi ranking cluster.</w:t>
      </w:r>
    </w:p>
    <w:tbl>
      <w:tblPr>
        <w:tblStyle w:val="TableGrid"/>
        <w:tblW w:type="auto" w:w="0"/>
        <w:jc w:val="center"/>
        <w:tblLook w:firstColumn="1" w:firstRow="1" w:lastColumn="0" w:lastRow="0" w:noHBand="0" w:noVBand="1" w:val="04A0"/>
      </w:tblPr>
      <w:tblGrid>
        <w:gridCol w:w="4901"/>
        <w:gridCol w:w="4901"/>
      </w:tblGrid>
      <w:tr>
        <w:trPr>
          <w:tblHeader w:val="true"/>
        </w:trPr>
        <w:tc>
          <w:tcPr>
            <w:tcW w:type="dxa" w:w="4032"/>
            <w:shd w:fill="E7E5DF"/>
            <w:tcMar>
              <w:top w:w="100" w:type="dxa"/>
              <w:start w:w="120" w:type="dxa"/>
              <w:bottom w:w="100" w:type="dxa"/>
              <w:end w:w="120" w:type="dxa"/>
            </w:tcMar>
            <w:vAlign w:val="center"/>
          </w:tcPr>
          <w:p>
            <w:r>
              <w:rPr>
                <w:b/>
                <w:sz w:val="17"/>
              </w:rPr>
              <w:t>metric</w:t>
            </w:r>
          </w:p>
        </w:tc>
        <w:tc>
          <w:tcPr>
            <w:tcW w:type="dxa" w:w="1728"/>
            <w:shd w:fill="E7E5DF"/>
            <w:tcMar>
              <w:top w:w="100" w:type="dxa"/>
              <w:start w:w="120" w:type="dxa"/>
              <w:bottom w:w="100" w:type="dxa"/>
              <w:end w:w="120" w:type="dxa"/>
            </w:tcMar>
            <w:vAlign w:val="center"/>
          </w:tcPr>
          <w:p>
            <w:r>
              <w:rPr>
                <w:b/>
                <w:sz w:val="17"/>
              </w:rPr>
              <w:t>value</w:t>
            </w:r>
          </w:p>
        </w:tc>
      </w:tr>
      <w:tr>
        <w:tc>
          <w:tcPr>
            <w:tcW w:type="dxa" w:w="4032"/>
            <w:tcMar>
              <w:top w:w="100" w:type="dxa"/>
              <w:start w:w="120" w:type="dxa"/>
              <w:bottom w:w="100" w:type="dxa"/>
              <w:end w:w="120" w:type="dxa"/>
            </w:tcMar>
            <w:vAlign w:val="center"/>
          </w:tcPr>
          <w:p>
            <w:pPr>
              <w:spacing w:after="0"/>
            </w:pPr>
            <w:r>
              <w:rPr>
                <w:sz w:val="17"/>
              </w:rPr>
              <w:t>cluster_ndcg_at_k</w:t>
            </w:r>
          </w:p>
        </w:tc>
        <w:tc>
          <w:tcPr>
            <w:tcW w:type="dxa" w:w="1728"/>
            <w:tcMar>
              <w:top w:w="100" w:type="dxa"/>
              <w:start w:w="120" w:type="dxa"/>
              <w:bottom w:w="100" w:type="dxa"/>
              <w:end w:w="120" w:type="dxa"/>
            </w:tcMar>
            <w:vAlign w:val="center"/>
          </w:tcPr>
          <w:p>
            <w:pPr>
              <w:spacing w:after="0"/>
            </w:pPr>
            <w:r>
              <w:rPr>
                <w:sz w:val="17"/>
              </w:rPr>
              <w:t>1.0</w:t>
            </w:r>
          </w:p>
        </w:tc>
      </w:tr>
      <w:tr>
        <w:tc>
          <w:tcPr>
            <w:tcW w:type="dxa" w:w="4032"/>
            <w:tcMar>
              <w:top w:w="100" w:type="dxa"/>
              <w:start w:w="120" w:type="dxa"/>
              <w:bottom w:w="100" w:type="dxa"/>
              <w:end w:w="120" w:type="dxa"/>
            </w:tcMar>
            <w:vAlign w:val="center"/>
          </w:tcPr>
          <w:p>
            <w:pPr>
              <w:spacing w:after="0"/>
            </w:pPr>
            <w:r>
              <w:rPr>
                <w:sz w:val="17"/>
              </w:rPr>
              <w:t>cluster_precision_at_k</w:t>
            </w:r>
          </w:p>
        </w:tc>
        <w:tc>
          <w:tcPr>
            <w:tcW w:type="dxa" w:w="1728"/>
            <w:tcMar>
              <w:top w:w="100" w:type="dxa"/>
              <w:start w:w="120" w:type="dxa"/>
              <w:bottom w:w="100" w:type="dxa"/>
              <w:end w:w="120" w:type="dxa"/>
            </w:tcMar>
            <w:vAlign w:val="center"/>
          </w:tcPr>
          <w:p>
            <w:pPr>
              <w:spacing w:after="0"/>
            </w:pPr>
            <w:r>
              <w:rPr>
                <w:sz w:val="17"/>
              </w:rPr>
              <w:t>1.0</w:t>
            </w:r>
          </w:p>
        </w:tc>
      </w:tr>
      <w:tr>
        <w:tc>
          <w:tcPr>
            <w:tcW w:type="dxa" w:w="4032"/>
            <w:tcMar>
              <w:top w:w="100" w:type="dxa"/>
              <w:start w:w="120" w:type="dxa"/>
              <w:bottom w:w="100" w:type="dxa"/>
              <w:end w:w="120" w:type="dxa"/>
            </w:tcMar>
            <w:vAlign w:val="center"/>
          </w:tcPr>
          <w:p>
            <w:pPr>
              <w:spacing w:after="0"/>
            </w:pPr>
            <w:r>
              <w:rPr>
                <w:sz w:val="17"/>
              </w:rPr>
              <w:t>cluster_recall_at_k</w:t>
            </w:r>
          </w:p>
        </w:tc>
        <w:tc>
          <w:tcPr>
            <w:tcW w:type="dxa" w:w="1728"/>
            <w:tcMar>
              <w:top w:w="100" w:type="dxa"/>
              <w:start w:w="120" w:type="dxa"/>
              <w:bottom w:w="100" w:type="dxa"/>
              <w:end w:w="120" w:type="dxa"/>
            </w:tcMar>
            <w:vAlign w:val="center"/>
          </w:tcPr>
          <w:p>
            <w:pPr>
              <w:spacing w:after="0"/>
            </w:pPr>
            <w:r>
              <w:rPr>
                <w:sz w:val="17"/>
              </w:rPr>
              <w:t>0.344828</w:t>
            </w:r>
          </w:p>
        </w:tc>
      </w:tr>
      <w:tr>
        <w:tc>
          <w:tcPr>
            <w:tcW w:type="dxa" w:w="4032"/>
            <w:tcMar>
              <w:top w:w="100" w:type="dxa"/>
              <w:start w:w="120" w:type="dxa"/>
              <w:bottom w:w="100" w:type="dxa"/>
              <w:end w:w="120" w:type="dxa"/>
            </w:tcMar>
            <w:vAlign w:val="center"/>
          </w:tcPr>
          <w:p>
            <w:pPr>
              <w:spacing w:after="0"/>
            </w:pPr>
            <w:r>
              <w:rPr>
                <w:sz w:val="17"/>
              </w:rPr>
              <w:t>cluster_lift_over_weighted</w:t>
            </w:r>
          </w:p>
        </w:tc>
        <w:tc>
          <w:tcPr>
            <w:tcW w:type="dxa" w:w="1728"/>
            <w:tcMar>
              <w:top w:w="100" w:type="dxa"/>
              <w:start w:w="120" w:type="dxa"/>
              <w:bottom w:w="100" w:type="dxa"/>
              <w:end w:w="120" w:type="dxa"/>
            </w:tcMar>
            <w:vAlign w:val="center"/>
          </w:tcPr>
          <w:p>
            <w:pPr>
              <w:spacing w:after="0"/>
            </w:pPr>
            <w:r>
              <w:rPr>
                <w:sz w:val="17"/>
              </w:rPr>
              <w:t>1.0</w:t>
            </w:r>
          </w:p>
        </w:tc>
      </w:tr>
    </w:tbl>
    <w:p/>
    <w:p>
      <w:pPr>
        <w:keepNext/>
        <w:jc w:val="center"/>
      </w:pPr>
      <w:r>
        <w:rPr>
          <w:b/>
          <w:sz w:val="18"/>
        </w:rPr>
        <w:t>Tabel 6. Ablation study keluarga fitur.</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trPr>
        <w:tc>
          <w:tcPr>
            <w:tcW w:type="dxa" w:w="2736"/>
            <w:shd w:fill="E7E5DF"/>
            <w:tcMar>
              <w:top w:w="100" w:type="dxa"/>
              <w:start w:w="120" w:type="dxa"/>
              <w:bottom w:w="100" w:type="dxa"/>
              <w:end w:w="120" w:type="dxa"/>
            </w:tcMar>
            <w:vAlign w:val="center"/>
          </w:tcPr>
          <w:p>
            <w:r>
              <w:rPr>
                <w:b/>
                <w:sz w:val="17"/>
              </w:rPr>
              <w:t>removed_feature_family</w:t>
            </w:r>
          </w:p>
        </w:tc>
        <w:tc>
          <w:tcPr>
            <w:tcW w:type="dxa" w:w="1152"/>
            <w:shd w:fill="E7E5DF"/>
            <w:tcMar>
              <w:top w:w="100" w:type="dxa"/>
              <w:start w:w="120" w:type="dxa"/>
              <w:bottom w:w="100" w:type="dxa"/>
              <w:end w:w="120" w:type="dxa"/>
            </w:tcMar>
            <w:vAlign w:val="center"/>
          </w:tcPr>
          <w:p>
            <w:r>
              <w:rPr>
                <w:b/>
                <w:sz w:val="17"/>
              </w:rPr>
              <w:t>macro_f1</w:t>
            </w:r>
          </w:p>
        </w:tc>
        <w:tc>
          <w:tcPr>
            <w:tcW w:type="dxa" w:w="1152"/>
            <w:shd w:fill="E7E5DF"/>
            <w:tcMar>
              <w:top w:w="100" w:type="dxa"/>
              <w:start w:w="120" w:type="dxa"/>
              <w:bottom w:w="100" w:type="dxa"/>
              <w:end w:w="120" w:type="dxa"/>
            </w:tcMar>
            <w:vAlign w:val="center"/>
          </w:tcPr>
          <w:p>
            <w:r>
              <w:rPr>
                <w:b/>
                <w:sz w:val="17"/>
              </w:rPr>
              <w:t>pr_auc</w:t>
            </w:r>
          </w:p>
        </w:tc>
        <w:tc>
          <w:tcPr>
            <w:tcW w:type="dxa" w:w="1152"/>
            <w:shd w:fill="E7E5DF"/>
            <w:tcMar>
              <w:top w:w="100" w:type="dxa"/>
              <w:start w:w="120" w:type="dxa"/>
              <w:bottom w:w="100" w:type="dxa"/>
              <w:end w:w="120" w:type="dxa"/>
            </w:tcMar>
            <w:vAlign w:val="center"/>
          </w:tcPr>
          <w:p>
            <w:r>
              <w:rPr>
                <w:b/>
                <w:sz w:val="17"/>
              </w:rPr>
              <w:t>brier</w:t>
            </w:r>
          </w:p>
        </w:tc>
      </w:tr>
      <w:tr>
        <w:tc>
          <w:tcPr>
            <w:tcW w:type="dxa" w:w="2736"/>
            <w:tcMar>
              <w:top w:w="100" w:type="dxa"/>
              <w:start w:w="120" w:type="dxa"/>
              <w:bottom w:w="100" w:type="dxa"/>
              <w:end w:w="120" w:type="dxa"/>
            </w:tcMar>
            <w:vAlign w:val="center"/>
          </w:tcPr>
          <w:p>
            <w:pPr>
              <w:spacing w:after="0"/>
            </w:pPr>
            <w:r>
              <w:rPr>
                <w:sz w:val="17"/>
              </w:rPr>
              <w:t>none</w:t>
            </w:r>
          </w:p>
        </w:tc>
        <w:tc>
          <w:tcPr>
            <w:tcW w:type="dxa" w:w="1152"/>
            <w:tcMar>
              <w:top w:w="100" w:type="dxa"/>
              <w:start w:w="120" w:type="dxa"/>
              <w:bottom w:w="100" w:type="dxa"/>
              <w:end w:w="120" w:type="dxa"/>
            </w:tcMar>
            <w:vAlign w:val="center"/>
          </w:tcPr>
          <w:p>
            <w:pPr>
              <w:spacing w:after="0"/>
            </w:pPr>
            <w:r>
              <w:rPr>
                <w:sz w:val="17"/>
              </w:rPr>
              <w:t>0.993232</w:t>
            </w:r>
          </w:p>
        </w:tc>
        <w:tc>
          <w:tcPr>
            <w:tcW w:type="dxa" w:w="1152"/>
            <w:tcMar>
              <w:top w:w="100" w:type="dxa"/>
              <w:start w:w="120" w:type="dxa"/>
              <w:bottom w:w="100" w:type="dxa"/>
              <w:end w:w="120" w:type="dxa"/>
            </w:tcMar>
            <w:vAlign w:val="center"/>
          </w:tcPr>
          <w:p>
            <w:pPr>
              <w:spacing w:after="0"/>
            </w:pPr>
            <w:r>
              <w:rPr>
                <w:sz w:val="17"/>
              </w:rPr>
              <w:t>1.0</w:t>
            </w:r>
          </w:p>
        </w:tc>
        <w:tc>
          <w:tcPr>
            <w:tcW w:type="dxa" w:w="1152"/>
            <w:tcMar>
              <w:top w:w="100" w:type="dxa"/>
              <w:start w:w="120" w:type="dxa"/>
              <w:bottom w:w="100" w:type="dxa"/>
              <w:end w:w="120" w:type="dxa"/>
            </w:tcMar>
            <w:vAlign w:val="center"/>
          </w:tcPr>
          <w:p>
            <w:pPr>
              <w:spacing w:after="0"/>
            </w:pPr>
            <w:r>
              <w:rPr>
                <w:sz w:val="17"/>
              </w:rPr>
              <w:t>0.021147</w:t>
            </w:r>
          </w:p>
        </w:tc>
      </w:tr>
      <w:tr>
        <w:tc>
          <w:tcPr>
            <w:tcW w:type="dxa" w:w="2736"/>
            <w:tcMar>
              <w:top w:w="100" w:type="dxa"/>
              <w:start w:w="120" w:type="dxa"/>
              <w:bottom w:w="100" w:type="dxa"/>
              <w:end w:w="120" w:type="dxa"/>
            </w:tcMar>
            <w:vAlign w:val="center"/>
          </w:tcPr>
          <w:p>
            <w:pPr>
              <w:spacing w:after="0"/>
            </w:pPr>
            <w:r>
              <w:rPr>
                <w:sz w:val="17"/>
              </w:rPr>
              <w:t>text</w:t>
            </w:r>
          </w:p>
        </w:tc>
        <w:tc>
          <w:tcPr>
            <w:tcW w:type="dxa" w:w="1152"/>
            <w:tcMar>
              <w:top w:w="100" w:type="dxa"/>
              <w:start w:w="120" w:type="dxa"/>
              <w:bottom w:w="100" w:type="dxa"/>
              <w:end w:w="120" w:type="dxa"/>
            </w:tcMar>
            <w:vAlign w:val="center"/>
          </w:tcPr>
          <w:p>
            <w:pPr>
              <w:spacing w:after="0"/>
            </w:pPr>
            <w:r>
              <w:rPr>
                <w:sz w:val="17"/>
              </w:rPr>
              <w:t>0.958787</w:t>
            </w:r>
          </w:p>
        </w:tc>
        <w:tc>
          <w:tcPr>
            <w:tcW w:type="dxa" w:w="1152"/>
            <w:tcMar>
              <w:top w:w="100" w:type="dxa"/>
              <w:start w:w="120" w:type="dxa"/>
              <w:bottom w:w="100" w:type="dxa"/>
              <w:end w:w="120" w:type="dxa"/>
            </w:tcMar>
            <w:vAlign w:val="center"/>
          </w:tcPr>
          <w:p>
            <w:pPr>
              <w:spacing w:after="0"/>
            </w:pPr>
            <w:r>
              <w:rPr>
                <w:sz w:val="17"/>
              </w:rPr>
              <w:t>0.989587</w:t>
            </w:r>
          </w:p>
        </w:tc>
        <w:tc>
          <w:tcPr>
            <w:tcW w:type="dxa" w:w="1152"/>
            <w:tcMar>
              <w:top w:w="100" w:type="dxa"/>
              <w:start w:w="120" w:type="dxa"/>
              <w:bottom w:w="100" w:type="dxa"/>
              <w:end w:w="120" w:type="dxa"/>
            </w:tcMar>
            <w:vAlign w:val="center"/>
          </w:tcPr>
          <w:p>
            <w:pPr>
              <w:spacing w:after="0"/>
            </w:pPr>
            <w:r>
              <w:rPr>
                <w:sz w:val="17"/>
              </w:rPr>
              <w:t>0.051676</w:t>
            </w:r>
          </w:p>
        </w:tc>
      </w:tr>
      <w:tr>
        <w:tc>
          <w:tcPr>
            <w:tcW w:type="dxa" w:w="2736"/>
            <w:tcMar>
              <w:top w:w="100" w:type="dxa"/>
              <w:start w:w="120" w:type="dxa"/>
              <w:bottom w:w="100" w:type="dxa"/>
              <w:end w:w="120" w:type="dxa"/>
            </w:tcMar>
            <w:vAlign w:val="center"/>
          </w:tcPr>
          <w:p>
            <w:pPr>
              <w:spacing w:after="0"/>
            </w:pPr>
            <w:r>
              <w:rPr>
                <w:sz w:val="17"/>
              </w:rPr>
              <w:t>entity</w:t>
            </w:r>
          </w:p>
        </w:tc>
        <w:tc>
          <w:tcPr>
            <w:tcW w:type="dxa" w:w="1152"/>
            <w:tcMar>
              <w:top w:w="100" w:type="dxa"/>
              <w:start w:w="120" w:type="dxa"/>
              <w:bottom w:w="100" w:type="dxa"/>
              <w:end w:w="120" w:type="dxa"/>
            </w:tcMar>
            <w:vAlign w:val="center"/>
          </w:tcPr>
          <w:p>
            <w:pPr>
              <w:spacing w:after="0"/>
            </w:pPr>
            <w:r>
              <w:rPr>
                <w:sz w:val="17"/>
              </w:rPr>
              <w:t>0.993232</w:t>
            </w:r>
          </w:p>
        </w:tc>
        <w:tc>
          <w:tcPr>
            <w:tcW w:type="dxa" w:w="1152"/>
            <w:tcMar>
              <w:top w:w="100" w:type="dxa"/>
              <w:start w:w="120" w:type="dxa"/>
              <w:bottom w:w="100" w:type="dxa"/>
              <w:end w:w="120" w:type="dxa"/>
            </w:tcMar>
            <w:vAlign w:val="center"/>
          </w:tcPr>
          <w:p>
            <w:pPr>
              <w:spacing w:after="0"/>
            </w:pPr>
            <w:r>
              <w:rPr>
                <w:sz w:val="17"/>
              </w:rPr>
              <w:t>1.0</w:t>
            </w:r>
          </w:p>
        </w:tc>
        <w:tc>
          <w:tcPr>
            <w:tcW w:type="dxa" w:w="1152"/>
            <w:tcMar>
              <w:top w:w="100" w:type="dxa"/>
              <w:start w:w="120" w:type="dxa"/>
              <w:bottom w:w="100" w:type="dxa"/>
              <w:end w:w="120" w:type="dxa"/>
            </w:tcMar>
            <w:vAlign w:val="center"/>
          </w:tcPr>
          <w:p>
            <w:pPr>
              <w:spacing w:after="0"/>
            </w:pPr>
            <w:r>
              <w:rPr>
                <w:sz w:val="17"/>
              </w:rPr>
              <w:t>0.021147</w:t>
            </w:r>
          </w:p>
        </w:tc>
      </w:tr>
      <w:tr>
        <w:tc>
          <w:tcPr>
            <w:tcW w:type="dxa" w:w="2736"/>
            <w:tcMar>
              <w:top w:w="100" w:type="dxa"/>
              <w:start w:w="120" w:type="dxa"/>
              <w:bottom w:w="100" w:type="dxa"/>
              <w:end w:w="120" w:type="dxa"/>
            </w:tcMar>
            <w:vAlign w:val="center"/>
          </w:tcPr>
          <w:p>
            <w:pPr>
              <w:spacing w:after="0"/>
            </w:pPr>
            <w:r>
              <w:rPr>
                <w:sz w:val="17"/>
              </w:rPr>
              <w:t>graph</w:t>
            </w:r>
          </w:p>
        </w:tc>
        <w:tc>
          <w:tcPr>
            <w:tcW w:type="dxa" w:w="1152"/>
            <w:tcMar>
              <w:top w:w="100" w:type="dxa"/>
              <w:start w:w="120" w:type="dxa"/>
              <w:bottom w:w="100" w:type="dxa"/>
              <w:end w:w="120" w:type="dxa"/>
            </w:tcMar>
            <w:vAlign w:val="center"/>
          </w:tcPr>
          <w:p>
            <w:pPr>
              <w:spacing w:after="0"/>
            </w:pPr>
            <w:r>
              <w:rPr>
                <w:sz w:val="17"/>
              </w:rPr>
              <w:t>0.993232</w:t>
            </w:r>
          </w:p>
        </w:tc>
        <w:tc>
          <w:tcPr>
            <w:tcW w:type="dxa" w:w="1152"/>
            <w:tcMar>
              <w:top w:w="100" w:type="dxa"/>
              <w:start w:w="120" w:type="dxa"/>
              <w:bottom w:w="100" w:type="dxa"/>
              <w:end w:w="120" w:type="dxa"/>
            </w:tcMar>
            <w:vAlign w:val="center"/>
          </w:tcPr>
          <w:p>
            <w:pPr>
              <w:spacing w:after="0"/>
            </w:pPr>
            <w:r>
              <w:rPr>
                <w:sz w:val="17"/>
              </w:rPr>
              <w:t>1.0</w:t>
            </w:r>
          </w:p>
        </w:tc>
        <w:tc>
          <w:tcPr>
            <w:tcW w:type="dxa" w:w="1152"/>
            <w:tcMar>
              <w:top w:w="100" w:type="dxa"/>
              <w:start w:w="120" w:type="dxa"/>
              <w:bottom w:w="100" w:type="dxa"/>
              <w:end w:w="120" w:type="dxa"/>
            </w:tcMar>
            <w:vAlign w:val="center"/>
          </w:tcPr>
          <w:p>
            <w:pPr>
              <w:spacing w:after="0"/>
            </w:pPr>
            <w:r>
              <w:rPr>
                <w:sz w:val="17"/>
              </w:rPr>
              <w:t>0.021147</w:t>
            </w:r>
          </w:p>
        </w:tc>
      </w:tr>
      <w:tr>
        <w:tc>
          <w:tcPr>
            <w:tcW w:type="dxa" w:w="2736"/>
            <w:tcMar>
              <w:top w:w="100" w:type="dxa"/>
              <w:start w:w="120" w:type="dxa"/>
              <w:bottom w:w="100" w:type="dxa"/>
              <w:end w:w="120" w:type="dxa"/>
            </w:tcMar>
            <w:vAlign w:val="center"/>
          </w:tcPr>
          <w:p>
            <w:pPr>
              <w:spacing w:after="0"/>
            </w:pPr>
            <w:r>
              <w:rPr>
                <w:sz w:val="17"/>
              </w:rPr>
              <w:t>source</w:t>
            </w:r>
          </w:p>
        </w:tc>
        <w:tc>
          <w:tcPr>
            <w:tcW w:type="dxa" w:w="1152"/>
            <w:tcMar>
              <w:top w:w="100" w:type="dxa"/>
              <w:start w:w="120" w:type="dxa"/>
              <w:bottom w:w="100" w:type="dxa"/>
              <w:end w:w="120" w:type="dxa"/>
            </w:tcMar>
            <w:vAlign w:val="center"/>
          </w:tcPr>
          <w:p>
            <w:pPr>
              <w:spacing w:after="0"/>
            </w:pPr>
            <w:r>
              <w:rPr>
                <w:sz w:val="17"/>
              </w:rPr>
              <w:t>0.993232</w:t>
            </w:r>
          </w:p>
        </w:tc>
        <w:tc>
          <w:tcPr>
            <w:tcW w:type="dxa" w:w="1152"/>
            <w:tcMar>
              <w:top w:w="100" w:type="dxa"/>
              <w:start w:w="120" w:type="dxa"/>
              <w:bottom w:w="100" w:type="dxa"/>
              <w:end w:w="120" w:type="dxa"/>
            </w:tcMar>
            <w:vAlign w:val="center"/>
          </w:tcPr>
          <w:p>
            <w:pPr>
              <w:spacing w:after="0"/>
            </w:pPr>
            <w:r>
              <w:rPr>
                <w:sz w:val="17"/>
              </w:rPr>
              <w:t>1.0</w:t>
            </w:r>
          </w:p>
        </w:tc>
        <w:tc>
          <w:tcPr>
            <w:tcW w:type="dxa" w:w="1152"/>
            <w:tcMar>
              <w:top w:w="100" w:type="dxa"/>
              <w:start w:w="120" w:type="dxa"/>
              <w:bottom w:w="100" w:type="dxa"/>
              <w:end w:w="120" w:type="dxa"/>
            </w:tcMar>
            <w:vAlign w:val="center"/>
          </w:tcPr>
          <w:p>
            <w:pPr>
              <w:spacing w:after="0"/>
            </w:pPr>
            <w:r>
              <w:rPr>
                <w:sz w:val="17"/>
              </w:rPr>
              <w:t>0.021147</w:t>
            </w:r>
          </w:p>
        </w:tc>
      </w:tr>
    </w:tbl>
    <w:p/>
    <w:p>
      <w:pPr>
        <w:keepNext/>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303520" cy="3182112"/>
                    </a:xfrm>
                    <a:prstGeom prst="rect"/>
                  </pic:spPr>
                </pic:pic>
              </a:graphicData>
            </a:graphic>
          </wp:inline>
        </w:drawing>
      </w:r>
    </w:p>
    <w:p>
      <w:pPr>
        <w:spacing w:before="40" w:after="160"/>
        <w:jc w:val="center"/>
      </w:pPr>
      <w:r>
        <w:rPr>
          <w:i/>
          <w:sz w:val="18"/>
        </w:rPr>
        <w:t>Gambar 3. Fitur teratas pada model utama.</w:t>
      </w:r>
    </w:p>
    <w:p>
      <w:pPr>
        <w:pStyle w:val="Heading1"/>
        <w:keepNext/>
      </w:pPr>
      <w:r>
        <w:t>6. Analisis</w:t>
      </w:r>
    </w:p>
    <w:p>
      <w:pPr>
        <w:pStyle w:val="BodyText"/>
        <w:jc w:val="both"/>
      </w:pPr>
      <w:r>
        <w:t>Hasil eksperimen menunjukkan weighted index sudah kuat karena corpus prototipe memiliki sinyal tekstual dan entitas yang sengaja dibuat eksplisit untuk menguji alur end-to-end. Model utama memperbaiki kalibrasi dan konsistensi ranking, tetapi angka yang sangat tinggi tidak boleh dibaca sebagai klaim performa lapangan. Pada data nyata, variasi bahasa, noise OCR, duplikasi, dan konten edukasi yang mengutip istilah judi akan menurunkan performa sehingga validasi manusia tetap wajib.</w:t>
      </w:r>
    </w:p>
    <w:p>
      <w:pPr>
        <w:pStyle w:val="BodyText"/>
        <w:jc w:val="both"/>
      </w:pPr>
      <w:r>
        <w:t>Feature importance memperlihatkan bahwa kombinasi sinyal teks dan entitas menjadi penentu utama. Fitur graf berperan pada ranking cluster karena mampu menaikkan prioritas cluster yang memiliki banyak bukti lintas sampel atau lintas platform. Ablation dipakai untuk memastikan model tidak bergantung pada satu fitur tunggal, sedangkan bootstrap Top-K overlap mengukur apakah cluster prioritas tetap muncul ketika sampel berubah.</w:t>
      </w:r>
    </w:p>
    <w:p>
      <w:pPr>
        <w:keepNext/>
        <w:jc w:val="center"/>
      </w:pPr>
      <w:r>
        <w:rPr>
          <w:b/>
          <w:sz w:val="18"/>
        </w:rPr>
        <w:t>Tabel 7. Delapan fitur terpenting.</w:t>
      </w:r>
    </w:p>
    <w:tbl>
      <w:tblPr>
        <w:tblStyle w:val="TableGrid"/>
        <w:tblW w:type="auto" w:w="0"/>
        <w:jc w:val="center"/>
        <w:tblLook w:firstColumn="1" w:firstRow="1" w:lastColumn="0" w:lastRow="0" w:noHBand="0" w:noVBand="1" w:val="04A0"/>
      </w:tblPr>
      <w:tblGrid>
        <w:gridCol w:w="3267"/>
        <w:gridCol w:w="3267"/>
        <w:gridCol w:w="3267"/>
      </w:tblGrid>
      <w:tr>
        <w:trPr>
          <w:tblHeader w:val="true"/>
        </w:trPr>
        <w:tc>
          <w:tcPr>
            <w:tcW w:type="dxa" w:w="3456"/>
            <w:shd w:fill="E7E5DF"/>
            <w:tcMar>
              <w:top w:w="100" w:type="dxa"/>
              <w:start w:w="120" w:type="dxa"/>
              <w:bottom w:w="100" w:type="dxa"/>
              <w:end w:w="120" w:type="dxa"/>
            </w:tcMar>
            <w:vAlign w:val="center"/>
          </w:tcPr>
          <w:p>
            <w:r>
              <w:rPr>
                <w:b/>
                <w:sz w:val="17"/>
              </w:rPr>
              <w:t>feature</w:t>
            </w:r>
          </w:p>
        </w:tc>
        <w:tc>
          <w:tcPr>
            <w:tcW w:type="dxa" w:w="1296"/>
            <w:shd w:fill="E7E5DF"/>
            <w:tcMar>
              <w:top w:w="100" w:type="dxa"/>
              <w:start w:w="120" w:type="dxa"/>
              <w:bottom w:w="100" w:type="dxa"/>
              <w:end w:w="120" w:type="dxa"/>
            </w:tcMar>
            <w:vAlign w:val="center"/>
          </w:tcPr>
          <w:p>
            <w:r>
              <w:rPr>
                <w:b/>
                <w:sz w:val="17"/>
              </w:rPr>
              <w:t>importance</w:t>
            </w:r>
          </w:p>
        </w:tc>
        <w:tc>
          <w:tcPr>
            <w:tcW w:type="dxa" w:w="1440"/>
            <w:shd w:fill="E7E5DF"/>
            <w:tcMar>
              <w:top w:w="100" w:type="dxa"/>
              <w:start w:w="120" w:type="dxa"/>
              <w:bottom w:w="100" w:type="dxa"/>
              <w:end w:w="120" w:type="dxa"/>
            </w:tcMar>
            <w:vAlign w:val="center"/>
          </w:tcPr>
          <w:p>
            <w:r>
              <w:rPr>
                <w:b/>
                <w:sz w:val="17"/>
              </w:rPr>
              <w:t>feature_group</w:t>
            </w:r>
          </w:p>
        </w:tc>
      </w:tr>
      <w:tr>
        <w:tc>
          <w:tcPr>
            <w:tcW w:type="dxa" w:w="3456"/>
            <w:tcMar>
              <w:top w:w="100" w:type="dxa"/>
              <w:start w:w="120" w:type="dxa"/>
              <w:bottom w:w="100" w:type="dxa"/>
              <w:end w:w="120" w:type="dxa"/>
            </w:tcMar>
            <w:vAlign w:val="center"/>
          </w:tcPr>
          <w:p>
            <w:pPr>
              <w:spacing w:after="0"/>
            </w:pPr>
            <w:r>
              <w:rPr>
                <w:sz w:val="17"/>
              </w:rPr>
              <w:t>text_risk_score</w:t>
            </w:r>
          </w:p>
        </w:tc>
        <w:tc>
          <w:tcPr>
            <w:tcW w:type="dxa" w:w="1296"/>
            <w:tcMar>
              <w:top w:w="100" w:type="dxa"/>
              <w:start w:w="120" w:type="dxa"/>
              <w:bottom w:w="100" w:type="dxa"/>
              <w:end w:w="120" w:type="dxa"/>
            </w:tcMar>
            <w:vAlign w:val="center"/>
          </w:tcPr>
          <w:p>
            <w:pPr>
              <w:spacing w:after="0"/>
            </w:pPr>
            <w:r>
              <w:rPr>
                <w:sz w:val="17"/>
              </w:rPr>
              <w:t>0.8790572217880481</w:t>
            </w:r>
          </w:p>
        </w:tc>
        <w:tc>
          <w:tcPr>
            <w:tcW w:type="dxa" w:w="1440"/>
            <w:tcMar>
              <w:top w:w="100" w:type="dxa"/>
              <w:start w:w="120" w:type="dxa"/>
              <w:bottom w:w="100" w:type="dxa"/>
              <w:end w:w="120" w:type="dxa"/>
            </w:tcMar>
            <w:vAlign w:val="center"/>
          </w:tcPr>
          <w:p>
            <w:pPr>
              <w:spacing w:after="0"/>
            </w:pPr>
            <w:r>
              <w:rPr>
                <w:sz w:val="17"/>
              </w:rPr>
              <w:t>text</w:t>
            </w:r>
          </w:p>
        </w:tc>
      </w:tr>
      <w:tr>
        <w:tc>
          <w:tcPr>
            <w:tcW w:type="dxa" w:w="3456"/>
            <w:tcMar>
              <w:top w:w="100" w:type="dxa"/>
              <w:start w:w="120" w:type="dxa"/>
              <w:bottom w:w="100" w:type="dxa"/>
              <w:end w:w="120" w:type="dxa"/>
            </w:tcMar>
            <w:vAlign w:val="center"/>
          </w:tcPr>
          <w:p>
            <w:pPr>
              <w:spacing w:after="0"/>
            </w:pPr>
            <w:r>
              <w:rPr>
                <w:sz w:val="17"/>
              </w:rPr>
              <w:t>suspicious_term_count</w:t>
            </w:r>
          </w:p>
        </w:tc>
        <w:tc>
          <w:tcPr>
            <w:tcW w:type="dxa" w:w="1296"/>
            <w:tcMar>
              <w:top w:w="100" w:type="dxa"/>
              <w:start w:w="120" w:type="dxa"/>
              <w:bottom w:w="100" w:type="dxa"/>
              <w:end w:w="120" w:type="dxa"/>
            </w:tcMar>
            <w:vAlign w:val="center"/>
          </w:tcPr>
          <w:p>
            <w:pPr>
              <w:spacing w:after="0"/>
            </w:pPr>
            <w:r>
              <w:rPr>
                <w:sz w:val="17"/>
              </w:rPr>
              <w:t>0.056777489248151</w:t>
            </w:r>
          </w:p>
        </w:tc>
        <w:tc>
          <w:tcPr>
            <w:tcW w:type="dxa" w:w="1440"/>
            <w:tcMar>
              <w:top w:w="100" w:type="dxa"/>
              <w:start w:w="120" w:type="dxa"/>
              <w:bottom w:w="100" w:type="dxa"/>
              <w:end w:w="120" w:type="dxa"/>
            </w:tcMar>
            <w:vAlign w:val="center"/>
          </w:tcPr>
          <w:p>
            <w:pPr>
              <w:spacing w:after="0"/>
            </w:pPr>
            <w:r>
              <w:rPr>
                <w:sz w:val="17"/>
              </w:rPr>
              <w:t>text</w:t>
            </w:r>
          </w:p>
        </w:tc>
      </w:tr>
      <w:tr>
        <w:tc>
          <w:tcPr>
            <w:tcW w:type="dxa" w:w="3456"/>
            <w:tcMar>
              <w:top w:w="100" w:type="dxa"/>
              <w:start w:w="120" w:type="dxa"/>
              <w:bottom w:w="100" w:type="dxa"/>
              <w:end w:w="120" w:type="dxa"/>
            </w:tcMar>
            <w:vAlign w:val="center"/>
          </w:tcPr>
          <w:p>
            <w:pPr>
              <w:spacing w:after="0"/>
            </w:pPr>
            <w:r>
              <w:rPr>
                <w:sz w:val="17"/>
              </w:rPr>
              <w:t>benign_term_count</w:t>
            </w:r>
          </w:p>
        </w:tc>
        <w:tc>
          <w:tcPr>
            <w:tcW w:type="dxa" w:w="1296"/>
            <w:tcMar>
              <w:top w:w="100" w:type="dxa"/>
              <w:start w:w="120" w:type="dxa"/>
              <w:bottom w:w="100" w:type="dxa"/>
              <w:end w:w="120" w:type="dxa"/>
            </w:tcMar>
            <w:vAlign w:val="center"/>
          </w:tcPr>
          <w:p>
            <w:pPr>
              <w:spacing w:after="0"/>
            </w:pPr>
            <w:r>
              <w:rPr>
                <w:sz w:val="17"/>
              </w:rPr>
              <w:t>0.0399470405283243</w:t>
            </w:r>
          </w:p>
        </w:tc>
        <w:tc>
          <w:tcPr>
            <w:tcW w:type="dxa" w:w="1440"/>
            <w:tcMar>
              <w:top w:w="100" w:type="dxa"/>
              <w:start w:w="120" w:type="dxa"/>
              <w:bottom w:w="100" w:type="dxa"/>
              <w:end w:w="120" w:type="dxa"/>
            </w:tcMar>
            <w:vAlign w:val="center"/>
          </w:tcPr>
          <w:p>
            <w:pPr>
              <w:spacing w:after="0"/>
            </w:pPr>
            <w:r>
              <w:rPr>
                <w:sz w:val="17"/>
              </w:rPr>
              <w:t>text</w:t>
            </w:r>
          </w:p>
        </w:tc>
      </w:tr>
      <w:tr>
        <w:tc>
          <w:tcPr>
            <w:tcW w:type="dxa" w:w="3456"/>
            <w:tcMar>
              <w:top w:w="100" w:type="dxa"/>
              <w:start w:w="120" w:type="dxa"/>
              <w:bottom w:w="100" w:type="dxa"/>
              <w:end w:w="120" w:type="dxa"/>
            </w:tcMar>
            <w:vAlign w:val="center"/>
          </w:tcPr>
          <w:p>
            <w:pPr>
              <w:spacing w:after="0"/>
            </w:pPr>
            <w:r>
              <w:rPr>
                <w:sz w:val="17"/>
              </w:rPr>
              <w:t>benign_terms</w:t>
            </w:r>
          </w:p>
        </w:tc>
        <w:tc>
          <w:tcPr>
            <w:tcW w:type="dxa" w:w="1296"/>
            <w:tcMar>
              <w:top w:w="100" w:type="dxa"/>
              <w:start w:w="120" w:type="dxa"/>
              <w:bottom w:w="100" w:type="dxa"/>
              <w:end w:w="120" w:type="dxa"/>
            </w:tcMar>
            <w:vAlign w:val="center"/>
          </w:tcPr>
          <w:p>
            <w:pPr>
              <w:spacing w:after="0"/>
            </w:pPr>
            <w:r>
              <w:rPr>
                <w:sz w:val="17"/>
              </w:rPr>
              <w:t>0.0242182484354764</w:t>
            </w:r>
          </w:p>
        </w:tc>
        <w:tc>
          <w:tcPr>
            <w:tcW w:type="dxa" w:w="1440"/>
            <w:tcMar>
              <w:top w:w="100" w:type="dxa"/>
              <w:start w:w="120" w:type="dxa"/>
              <w:bottom w:w="100" w:type="dxa"/>
              <w:end w:w="120" w:type="dxa"/>
            </w:tcMar>
            <w:vAlign w:val="center"/>
          </w:tcPr>
          <w:p>
            <w:pPr>
              <w:spacing w:after="0"/>
            </w:pPr>
            <w:r>
              <w:rPr>
                <w:sz w:val="17"/>
              </w:rPr>
              <w:t>text</w:t>
            </w:r>
          </w:p>
        </w:tc>
      </w:tr>
    </w:tbl>
    <w:p/>
    <w:p>
      <w:pPr>
        <w:keepNext/>
        <w:jc w:val="center"/>
      </w:pPr>
      <w:r>
        <w:rPr>
          <w:b/>
          <w:sz w:val="18"/>
        </w:rPr>
        <w:t>Tabel 8. Stabilitas ranking Top-20.</w:t>
      </w:r>
    </w:p>
    <w:tbl>
      <w:tblPr>
        <w:tblStyle w:val="TableGrid"/>
        <w:tblW w:type="auto" w:w="0"/>
        <w:jc w:val="center"/>
        <w:tblLook w:firstColumn="1" w:firstRow="1" w:lastColumn="0" w:lastRow="0" w:noHBand="0" w:noVBand="1" w:val="04A0"/>
      </w:tblPr>
      <w:tblGrid>
        <w:gridCol w:w="4901"/>
        <w:gridCol w:w="4901"/>
      </w:tblGrid>
      <w:tr>
        <w:trPr>
          <w:tblHeader w:val="true"/>
        </w:trPr>
        <w:tc>
          <w:tcPr>
            <w:tcW w:type="dxa" w:w="4320"/>
            <w:shd w:fill="E7E5DF"/>
            <w:tcMar>
              <w:top w:w="100" w:type="dxa"/>
              <w:start w:w="120" w:type="dxa"/>
              <w:bottom w:w="100" w:type="dxa"/>
              <w:end w:w="120" w:type="dxa"/>
            </w:tcMar>
            <w:vAlign w:val="center"/>
          </w:tcPr>
          <w:p>
            <w:r>
              <w:rPr>
                <w:b/>
                <w:sz w:val="17"/>
              </w:rPr>
              <w:t>metric</w:t>
            </w:r>
          </w:p>
        </w:tc>
        <w:tc>
          <w:tcPr>
            <w:tcW w:type="dxa" w:w="1440"/>
            <w:shd w:fill="E7E5DF"/>
            <w:tcMar>
              <w:top w:w="100" w:type="dxa"/>
              <w:start w:w="120" w:type="dxa"/>
              <w:bottom w:w="100" w:type="dxa"/>
              <w:end w:w="120" w:type="dxa"/>
            </w:tcMar>
            <w:vAlign w:val="center"/>
          </w:tcPr>
          <w:p>
            <w:r>
              <w:rPr>
                <w:b/>
                <w:sz w:val="17"/>
              </w:rPr>
              <w:t>value</w:t>
            </w:r>
          </w:p>
        </w:tc>
      </w:tr>
      <w:tr>
        <w:tc>
          <w:tcPr>
            <w:tcW w:type="dxa" w:w="4320"/>
            <w:tcMar>
              <w:top w:w="100" w:type="dxa"/>
              <w:start w:w="120" w:type="dxa"/>
              <w:bottom w:w="100" w:type="dxa"/>
              <w:end w:w="120" w:type="dxa"/>
            </w:tcMar>
            <w:vAlign w:val="center"/>
          </w:tcPr>
          <w:p>
            <w:pPr>
              <w:spacing w:after="0"/>
            </w:pPr>
            <w:r>
              <w:rPr>
                <w:sz w:val="17"/>
              </w:rPr>
              <w:t>bootstrap_top20_overlap_mean</w:t>
            </w:r>
          </w:p>
        </w:tc>
        <w:tc>
          <w:tcPr>
            <w:tcW w:type="dxa" w:w="1440"/>
            <w:tcMar>
              <w:top w:w="100" w:type="dxa"/>
              <w:start w:w="120" w:type="dxa"/>
              <w:bottom w:w="100" w:type="dxa"/>
              <w:end w:w="120" w:type="dxa"/>
            </w:tcMar>
            <w:vAlign w:val="center"/>
          </w:tcPr>
          <w:p>
            <w:pPr>
              <w:spacing w:after="0"/>
            </w:pPr>
            <w:r>
              <w:rPr>
                <w:sz w:val="17"/>
              </w:rPr>
              <w:t>0.6375</w:t>
            </w:r>
          </w:p>
        </w:tc>
      </w:tr>
      <w:tr>
        <w:tc>
          <w:tcPr>
            <w:tcW w:type="dxa" w:w="4320"/>
            <w:tcMar>
              <w:top w:w="100" w:type="dxa"/>
              <w:start w:w="120" w:type="dxa"/>
              <w:bottom w:w="100" w:type="dxa"/>
              <w:end w:w="120" w:type="dxa"/>
            </w:tcMar>
            <w:vAlign w:val="center"/>
          </w:tcPr>
          <w:p>
            <w:pPr>
              <w:spacing w:after="0"/>
            </w:pPr>
            <w:r>
              <w:rPr>
                <w:sz w:val="17"/>
              </w:rPr>
              <w:t>bootstrap_top20_overlap_p10</w:t>
            </w:r>
          </w:p>
        </w:tc>
        <w:tc>
          <w:tcPr>
            <w:tcW w:type="dxa" w:w="1440"/>
            <w:tcMar>
              <w:top w:w="100" w:type="dxa"/>
              <w:start w:w="120" w:type="dxa"/>
              <w:bottom w:w="100" w:type="dxa"/>
              <w:end w:w="120" w:type="dxa"/>
            </w:tcMar>
            <w:vAlign w:val="center"/>
          </w:tcPr>
          <w:p>
            <w:pPr>
              <w:spacing w:after="0"/>
            </w:pPr>
            <w:r>
              <w:rPr>
                <w:sz w:val="17"/>
              </w:rPr>
              <w:t>0.545</w:t>
            </w:r>
          </w:p>
        </w:tc>
      </w:tr>
      <w:tr>
        <w:tc>
          <w:tcPr>
            <w:tcW w:type="dxa" w:w="4320"/>
            <w:tcMar>
              <w:top w:w="100" w:type="dxa"/>
              <w:start w:w="120" w:type="dxa"/>
              <w:bottom w:w="100" w:type="dxa"/>
              <w:end w:w="120" w:type="dxa"/>
            </w:tcMar>
            <w:vAlign w:val="center"/>
          </w:tcPr>
          <w:p>
            <w:pPr>
              <w:spacing w:after="0"/>
            </w:pPr>
            <w:r>
              <w:rPr>
                <w:sz w:val="17"/>
              </w:rPr>
              <w:t>bootstrap_top20_overlap_p90</w:t>
            </w:r>
          </w:p>
        </w:tc>
        <w:tc>
          <w:tcPr>
            <w:tcW w:type="dxa" w:w="1440"/>
            <w:tcMar>
              <w:top w:w="100" w:type="dxa"/>
              <w:start w:w="120" w:type="dxa"/>
              <w:bottom w:w="100" w:type="dxa"/>
              <w:end w:w="120" w:type="dxa"/>
            </w:tcMar>
            <w:vAlign w:val="center"/>
          </w:tcPr>
          <w:p>
            <w:pPr>
              <w:spacing w:after="0"/>
            </w:pPr>
            <w:r>
              <w:rPr>
                <w:sz w:val="17"/>
              </w:rPr>
              <w:t>0.755</w:t>
            </w:r>
          </w:p>
        </w:tc>
      </w:tr>
    </w:tbl>
    <w:p/>
    <w:p>
      <w:pPr>
        <w:keepNext/>
        <w:jc w:val="center"/>
      </w:pPr>
      <w:r>
        <w:rPr>
          <w:b/>
          <w:sz w:val="18"/>
        </w:rPr>
        <w:t>Tabel 9. Sepuluh cluster prioritas tertinggi.</w:t>
      </w:r>
    </w:p>
    <w:tbl>
      <w:tblPr>
        <w:tblStyle w:val="TableGrid"/>
        <w:tblW w:type="auto" w:w="0"/>
        <w:jc w:val="center"/>
        <w:tblLook w:firstColumn="1" w:firstRow="1" w:lastColumn="0" w:lastRow="0" w:noHBand="0" w:noVBand="1" w:val="04A0"/>
      </w:tblPr>
      <w:tblGrid>
        <w:gridCol w:w="1400"/>
        <w:gridCol w:w="1400"/>
        <w:gridCol w:w="1400"/>
        <w:gridCol w:w="1400"/>
        <w:gridCol w:w="1400"/>
        <w:gridCol w:w="1400"/>
        <w:gridCol w:w="1400"/>
      </w:tblGrid>
      <w:tr>
        <w:trPr>
          <w:tblHeader w:val="true"/>
        </w:trPr>
        <w:tc>
          <w:tcPr>
            <w:tcW w:type="dxa" w:w="648"/>
            <w:shd w:fill="E7E5DF"/>
            <w:tcMar>
              <w:top w:w="100" w:type="dxa"/>
              <w:start w:w="120" w:type="dxa"/>
              <w:bottom w:w="100" w:type="dxa"/>
              <w:end w:w="120" w:type="dxa"/>
            </w:tcMar>
            <w:vAlign w:val="center"/>
          </w:tcPr>
          <w:p>
            <w:r>
              <w:rPr>
                <w:b/>
                <w:sz w:val="17"/>
              </w:rPr>
              <w:t>rank</w:t>
            </w:r>
          </w:p>
        </w:tc>
        <w:tc>
          <w:tcPr>
            <w:tcW w:type="dxa" w:w="1080"/>
            <w:shd w:fill="E7E5DF"/>
            <w:tcMar>
              <w:top w:w="100" w:type="dxa"/>
              <w:start w:w="120" w:type="dxa"/>
              <w:bottom w:w="100" w:type="dxa"/>
              <w:end w:w="120" w:type="dxa"/>
            </w:tcMar>
            <w:vAlign w:val="center"/>
          </w:tcPr>
          <w:p>
            <w:r>
              <w:rPr>
                <w:b/>
                <w:sz w:val="17"/>
              </w:rPr>
              <w:t>cluster_id</w:t>
            </w:r>
          </w:p>
        </w:tc>
        <w:tc>
          <w:tcPr>
            <w:tcW w:type="dxa" w:w="1152"/>
            <w:shd w:fill="E7E5DF"/>
            <w:tcMar>
              <w:top w:w="100" w:type="dxa"/>
              <w:start w:w="120" w:type="dxa"/>
              <w:bottom w:w="100" w:type="dxa"/>
              <w:end w:w="120" w:type="dxa"/>
            </w:tcMar>
            <w:vAlign w:val="center"/>
          </w:tcPr>
          <w:p>
            <w:r>
              <w:rPr>
                <w:b/>
                <w:sz w:val="17"/>
              </w:rPr>
              <w:t>priority_score</w:t>
            </w:r>
          </w:p>
        </w:tc>
        <w:tc>
          <w:tcPr>
            <w:tcW w:type="dxa" w:w="1080"/>
            <w:shd w:fill="E7E5DF"/>
            <w:tcMar>
              <w:top w:w="100" w:type="dxa"/>
              <w:start w:w="120" w:type="dxa"/>
              <w:bottom w:w="100" w:type="dxa"/>
              <w:end w:w="120" w:type="dxa"/>
            </w:tcMar>
            <w:vAlign w:val="center"/>
          </w:tcPr>
          <w:p>
            <w:r>
              <w:rPr>
                <w:b/>
                <w:sz w:val="17"/>
              </w:rPr>
              <w:t>sample_count</w:t>
            </w:r>
          </w:p>
        </w:tc>
        <w:tc>
          <w:tcPr>
            <w:tcW w:type="dxa" w:w="1080"/>
            <w:shd w:fill="E7E5DF"/>
            <w:tcMar>
              <w:top w:w="100" w:type="dxa"/>
              <w:start w:w="120" w:type="dxa"/>
              <w:bottom w:w="100" w:type="dxa"/>
              <w:end w:w="120" w:type="dxa"/>
            </w:tcMar>
            <w:vAlign w:val="center"/>
          </w:tcPr>
          <w:p>
            <w:r>
              <w:rPr>
                <w:b/>
                <w:sz w:val="17"/>
              </w:rPr>
              <w:t>entity_count</w:t>
            </w:r>
          </w:p>
        </w:tc>
        <w:tc>
          <w:tcPr>
            <w:tcW w:type="dxa" w:w="1080"/>
            <w:shd w:fill="E7E5DF"/>
            <w:tcMar>
              <w:top w:w="100" w:type="dxa"/>
              <w:start w:w="120" w:type="dxa"/>
              <w:bottom w:w="100" w:type="dxa"/>
              <w:end w:w="120" w:type="dxa"/>
            </w:tcMar>
            <w:vAlign w:val="center"/>
          </w:tcPr>
          <w:p>
            <w:r>
              <w:rPr>
                <w:b/>
                <w:sz w:val="17"/>
              </w:rPr>
              <w:t>platform_count</w:t>
            </w:r>
          </w:p>
        </w:tc>
        <w:tc>
          <w:tcPr>
            <w:tcW w:type="dxa" w:w="3600"/>
            <w:shd w:fill="E7E5DF"/>
            <w:tcMar>
              <w:top w:w="100" w:type="dxa"/>
              <w:start w:w="120" w:type="dxa"/>
              <w:bottom w:w="100" w:type="dxa"/>
              <w:end w:w="120" w:type="dxa"/>
            </w:tcMar>
            <w:vAlign w:val="center"/>
          </w:tcPr>
          <w:p>
            <w:r>
              <w:rPr>
                <w:b/>
                <w:sz w:val="17"/>
              </w:rPr>
              <w:t>top_reasons</w:t>
            </w:r>
          </w:p>
        </w:tc>
      </w:tr>
      <w:tr>
        <w:tc>
          <w:tcPr>
            <w:tcW w:type="dxa" w:w="648"/>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C295</w:t>
            </w:r>
          </w:p>
        </w:tc>
        <w:tc>
          <w:tcPr>
            <w:tcW w:type="dxa" w:w="1152"/>
            <w:tcMar>
              <w:top w:w="100" w:type="dxa"/>
              <w:start w:w="120" w:type="dxa"/>
              <w:bottom w:w="100" w:type="dxa"/>
              <w:end w:w="120" w:type="dxa"/>
            </w:tcMar>
            <w:vAlign w:val="center"/>
          </w:tcPr>
          <w:p>
            <w:pPr>
              <w:spacing w:after="0"/>
            </w:pPr>
            <w:r>
              <w:rPr>
                <w:sz w:val="17"/>
              </w:rPr>
              <w:t>0.95639</w:t>
            </w:r>
          </w:p>
        </w:tc>
        <w:tc>
          <w:tcPr>
            <w:tcW w:type="dxa" w:w="1080"/>
            <w:tcMar>
              <w:top w:w="100" w:type="dxa"/>
              <w:start w:w="120" w:type="dxa"/>
              <w:bottom w:w="100" w:type="dxa"/>
              <w:end w:w="120" w:type="dxa"/>
            </w:tcMar>
            <w:vAlign w:val="center"/>
          </w:tcPr>
          <w:p>
            <w:pPr>
              <w:spacing w:after="0"/>
            </w:pPr>
            <w:r>
              <w:rPr>
                <w:sz w:val="17"/>
              </w:rPr>
              <w:t>318</w:t>
            </w:r>
          </w:p>
        </w:tc>
        <w:tc>
          <w:tcPr>
            <w:tcW w:type="dxa" w:w="1080"/>
            <w:tcMar>
              <w:top w:w="100" w:type="dxa"/>
              <w:start w:w="120" w:type="dxa"/>
              <w:bottom w:w="100" w:type="dxa"/>
              <w:end w:w="120" w:type="dxa"/>
            </w:tcMar>
            <w:vAlign w:val="center"/>
          </w:tcPr>
          <w:p>
            <w:pPr>
              <w:spacing w:after="0"/>
            </w:pPr>
            <w:r>
              <w:rPr>
                <w:sz w:val="17"/>
              </w:rPr>
              <w:t>68</w:t>
            </w:r>
          </w:p>
        </w:tc>
        <w:tc>
          <w:tcPr>
            <w:tcW w:type="dxa" w:w="1080"/>
            <w:tcMar>
              <w:top w:w="100" w:type="dxa"/>
              <w:start w:w="120" w:type="dxa"/>
              <w:bottom w:w="100" w:type="dxa"/>
              <w:end w:w="120" w:type="dxa"/>
            </w:tcMar>
            <w:vAlign w:val="center"/>
          </w:tcPr>
          <w:p>
            <w:pPr>
              <w:spacing w:after="0"/>
            </w:pPr>
            <w:r>
              <w:rPr>
                <w:sz w:val="17"/>
              </w:rPr>
              <w:t>6</w:t>
            </w:r>
          </w:p>
        </w:tc>
        <w:tc>
          <w:tcPr>
            <w:tcW w:type="dxa" w:w="3600"/>
            <w:tcMar>
              <w:top w:w="100" w:type="dxa"/>
              <w:start w:w="120" w:type="dxa"/>
              <w:bottom w:w="100" w:type="dxa"/>
              <w:end w:w="120" w:type="dxa"/>
            </w:tcMar>
            <w:vAlign w:val="center"/>
          </w:tcPr>
          <w:p>
            <w:pPr>
              <w:spacing w:after="0"/>
            </w:pPr>
            <w:r>
              <w:rPr>
                <w:sz w:val="17"/>
              </w:rPr>
              <w:t>high text promotion signal; cross-platform recurrence; multiple masked domains; multi-entity evidence</w:t>
            </w:r>
          </w:p>
        </w:tc>
      </w:tr>
      <w:tr>
        <w:tc>
          <w:tcPr>
            <w:tcW w:type="dxa" w:w="648"/>
            <w:tcMar>
              <w:top w:w="100" w:type="dxa"/>
              <w:start w:w="120" w:type="dxa"/>
              <w:bottom w:w="100" w:type="dxa"/>
              <w:end w:w="120" w:type="dxa"/>
            </w:tcMar>
            <w:vAlign w:val="center"/>
          </w:tcPr>
          <w:p>
            <w:pPr>
              <w:spacing w:after="0"/>
            </w:pPr>
            <w:r>
              <w:rPr>
                <w:sz w:val="17"/>
              </w:rPr>
              <w:t>2</w:t>
            </w:r>
          </w:p>
        </w:tc>
        <w:tc>
          <w:tcPr>
            <w:tcW w:type="dxa" w:w="1080"/>
            <w:tcMar>
              <w:top w:w="100" w:type="dxa"/>
              <w:start w:w="120" w:type="dxa"/>
              <w:bottom w:w="100" w:type="dxa"/>
              <w:end w:w="120" w:type="dxa"/>
            </w:tcMar>
            <w:vAlign w:val="center"/>
          </w:tcPr>
          <w:p>
            <w:pPr>
              <w:spacing w:after="0"/>
            </w:pPr>
            <w:r>
              <w:rPr>
                <w:sz w:val="17"/>
              </w:rPr>
              <w:t>C162</w:t>
            </w:r>
          </w:p>
        </w:tc>
        <w:tc>
          <w:tcPr>
            <w:tcW w:type="dxa" w:w="1152"/>
            <w:tcMar>
              <w:top w:w="100" w:type="dxa"/>
              <w:start w:w="120" w:type="dxa"/>
              <w:bottom w:w="100" w:type="dxa"/>
              <w:end w:w="120" w:type="dxa"/>
            </w:tcMar>
            <w:vAlign w:val="center"/>
          </w:tcPr>
          <w:p>
            <w:pPr>
              <w:spacing w:after="0"/>
            </w:pPr>
            <w:r>
              <w:rPr>
                <w:sz w:val="17"/>
              </w:rPr>
              <w:t>0.640508</w:t>
            </w:r>
          </w:p>
        </w:tc>
        <w:tc>
          <w:tcPr>
            <w:tcW w:type="dxa" w:w="1080"/>
            <w:tcMar>
              <w:top w:w="100" w:type="dxa"/>
              <w:start w:w="120" w:type="dxa"/>
              <w:bottom w:w="100" w:type="dxa"/>
              <w:end w:w="120" w:type="dxa"/>
            </w:tcMar>
            <w:vAlign w:val="center"/>
          </w:tcPr>
          <w:p>
            <w:pPr>
              <w:spacing w:after="0"/>
            </w:pPr>
            <w:r>
              <w:rPr>
                <w:sz w:val="17"/>
              </w:rPr>
              <w:t>2</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2</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3</w:t>
            </w:r>
          </w:p>
        </w:tc>
        <w:tc>
          <w:tcPr>
            <w:tcW w:type="dxa" w:w="1080"/>
            <w:tcMar>
              <w:top w:w="100" w:type="dxa"/>
              <w:start w:w="120" w:type="dxa"/>
              <w:bottom w:w="100" w:type="dxa"/>
              <w:end w:w="120" w:type="dxa"/>
            </w:tcMar>
            <w:vAlign w:val="center"/>
          </w:tcPr>
          <w:p>
            <w:pPr>
              <w:spacing w:after="0"/>
            </w:pPr>
            <w:r>
              <w:rPr>
                <w:sz w:val="17"/>
              </w:rPr>
              <w:t>C221</w:t>
            </w:r>
          </w:p>
        </w:tc>
        <w:tc>
          <w:tcPr>
            <w:tcW w:type="dxa" w:w="1152"/>
            <w:tcMar>
              <w:top w:w="100" w:type="dxa"/>
              <w:start w:w="120" w:type="dxa"/>
              <w:bottom w:w="100" w:type="dxa"/>
              <w:end w:w="120" w:type="dxa"/>
            </w:tcMar>
            <w:vAlign w:val="center"/>
          </w:tcPr>
          <w:p>
            <w:pPr>
              <w:spacing w:after="0"/>
            </w:pPr>
            <w:r>
              <w:rPr>
                <w:sz w:val="17"/>
              </w:rPr>
              <w:t>0.637958</w:t>
            </w:r>
          </w:p>
        </w:tc>
        <w:tc>
          <w:tcPr>
            <w:tcW w:type="dxa" w:w="1080"/>
            <w:tcMar>
              <w:top w:w="100" w:type="dxa"/>
              <w:start w:w="120" w:type="dxa"/>
              <w:bottom w:w="100" w:type="dxa"/>
              <w:end w:w="120" w:type="dxa"/>
            </w:tcMar>
            <w:vAlign w:val="center"/>
          </w:tcPr>
          <w:p>
            <w:pPr>
              <w:spacing w:after="0"/>
            </w:pPr>
            <w:r>
              <w:rPr>
                <w:sz w:val="17"/>
              </w:rPr>
              <w:t>2</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2</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4</w:t>
            </w:r>
          </w:p>
        </w:tc>
        <w:tc>
          <w:tcPr>
            <w:tcW w:type="dxa" w:w="1080"/>
            <w:tcMar>
              <w:top w:w="100" w:type="dxa"/>
              <w:start w:w="120" w:type="dxa"/>
              <w:bottom w:w="100" w:type="dxa"/>
              <w:end w:w="120" w:type="dxa"/>
            </w:tcMar>
            <w:vAlign w:val="center"/>
          </w:tcPr>
          <w:p>
            <w:pPr>
              <w:spacing w:after="0"/>
            </w:pPr>
            <w:r>
              <w:rPr>
                <w:sz w:val="17"/>
              </w:rPr>
              <w:t>C269</w:t>
            </w:r>
          </w:p>
        </w:tc>
        <w:tc>
          <w:tcPr>
            <w:tcW w:type="dxa" w:w="1152"/>
            <w:tcMar>
              <w:top w:w="100" w:type="dxa"/>
              <w:start w:w="120" w:type="dxa"/>
              <w:bottom w:w="100" w:type="dxa"/>
              <w:end w:w="120" w:type="dxa"/>
            </w:tcMar>
            <w:vAlign w:val="center"/>
          </w:tcPr>
          <w:p>
            <w:pPr>
              <w:spacing w:after="0"/>
            </w:pPr>
            <w:r>
              <w:rPr>
                <w:sz w:val="17"/>
              </w:rPr>
              <w:t>0.617568</w:t>
            </w:r>
          </w:p>
        </w:tc>
        <w:tc>
          <w:tcPr>
            <w:tcW w:type="dxa" w:w="1080"/>
            <w:tcMar>
              <w:top w:w="100" w:type="dxa"/>
              <w:start w:w="120" w:type="dxa"/>
              <w:bottom w:w="100" w:type="dxa"/>
              <w:end w:w="120" w:type="dxa"/>
            </w:tcMar>
            <w:vAlign w:val="center"/>
          </w:tcPr>
          <w:p>
            <w:pPr>
              <w:spacing w:after="0"/>
            </w:pPr>
            <w:r>
              <w:rPr>
                <w:sz w:val="17"/>
              </w:rPr>
              <w:t>2</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5</w:t>
            </w:r>
          </w:p>
        </w:tc>
        <w:tc>
          <w:tcPr>
            <w:tcW w:type="dxa" w:w="1080"/>
            <w:tcMar>
              <w:top w:w="100" w:type="dxa"/>
              <w:start w:w="120" w:type="dxa"/>
              <w:bottom w:w="100" w:type="dxa"/>
              <w:end w:w="120" w:type="dxa"/>
            </w:tcMar>
            <w:vAlign w:val="center"/>
          </w:tcPr>
          <w:p>
            <w:pPr>
              <w:spacing w:after="0"/>
            </w:pPr>
            <w:r>
              <w:rPr>
                <w:sz w:val="17"/>
              </w:rPr>
              <w:t>C074</w:t>
            </w:r>
          </w:p>
        </w:tc>
        <w:tc>
          <w:tcPr>
            <w:tcW w:type="dxa" w:w="1152"/>
            <w:tcMar>
              <w:top w:w="100" w:type="dxa"/>
              <w:start w:w="120" w:type="dxa"/>
              <w:bottom w:w="100" w:type="dxa"/>
              <w:end w:w="120" w:type="dxa"/>
            </w:tcMar>
            <w:vAlign w:val="center"/>
          </w:tcPr>
          <w:p>
            <w:pPr>
              <w:spacing w:after="0"/>
            </w:pPr>
            <w:r>
              <w:rPr>
                <w:sz w:val="17"/>
              </w:rPr>
              <w:t>0.615349</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6</w:t>
            </w:r>
          </w:p>
        </w:tc>
        <w:tc>
          <w:tcPr>
            <w:tcW w:type="dxa" w:w="1080"/>
            <w:tcMar>
              <w:top w:w="100" w:type="dxa"/>
              <w:start w:w="120" w:type="dxa"/>
              <w:bottom w:w="100" w:type="dxa"/>
              <w:end w:w="120" w:type="dxa"/>
            </w:tcMar>
            <w:vAlign w:val="center"/>
          </w:tcPr>
          <w:p>
            <w:pPr>
              <w:spacing w:after="0"/>
            </w:pPr>
            <w:r>
              <w:rPr>
                <w:sz w:val="17"/>
              </w:rPr>
              <w:t>C243</w:t>
            </w:r>
          </w:p>
        </w:tc>
        <w:tc>
          <w:tcPr>
            <w:tcW w:type="dxa" w:w="1152"/>
            <w:tcMar>
              <w:top w:w="100" w:type="dxa"/>
              <w:start w:w="120" w:type="dxa"/>
              <w:bottom w:w="100" w:type="dxa"/>
              <w:end w:w="120" w:type="dxa"/>
            </w:tcMar>
            <w:vAlign w:val="center"/>
          </w:tcPr>
          <w:p>
            <w:pPr>
              <w:spacing w:after="0"/>
            </w:pPr>
            <w:r>
              <w:rPr>
                <w:sz w:val="17"/>
              </w:rPr>
              <w:t>0.610785</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7</w:t>
            </w:r>
          </w:p>
        </w:tc>
        <w:tc>
          <w:tcPr>
            <w:tcW w:type="dxa" w:w="1080"/>
            <w:tcMar>
              <w:top w:w="100" w:type="dxa"/>
              <w:start w:w="120" w:type="dxa"/>
              <w:bottom w:w="100" w:type="dxa"/>
              <w:end w:w="120" w:type="dxa"/>
            </w:tcMar>
            <w:vAlign w:val="center"/>
          </w:tcPr>
          <w:p>
            <w:pPr>
              <w:spacing w:after="0"/>
            </w:pPr>
            <w:r>
              <w:rPr>
                <w:sz w:val="17"/>
              </w:rPr>
              <w:t>C020</w:t>
            </w:r>
          </w:p>
        </w:tc>
        <w:tc>
          <w:tcPr>
            <w:tcW w:type="dxa" w:w="1152"/>
            <w:tcMar>
              <w:top w:w="100" w:type="dxa"/>
              <w:start w:w="120" w:type="dxa"/>
              <w:bottom w:w="100" w:type="dxa"/>
              <w:end w:w="120" w:type="dxa"/>
            </w:tcMar>
            <w:vAlign w:val="center"/>
          </w:tcPr>
          <w:p>
            <w:pPr>
              <w:spacing w:after="0"/>
            </w:pPr>
            <w:r>
              <w:rPr>
                <w:sz w:val="17"/>
              </w:rPr>
              <w:t>0.598503</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0</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8</w:t>
            </w:r>
          </w:p>
        </w:tc>
        <w:tc>
          <w:tcPr>
            <w:tcW w:type="dxa" w:w="1080"/>
            <w:tcMar>
              <w:top w:w="100" w:type="dxa"/>
              <w:start w:w="120" w:type="dxa"/>
              <w:bottom w:w="100" w:type="dxa"/>
              <w:end w:w="120" w:type="dxa"/>
            </w:tcMar>
            <w:vAlign w:val="center"/>
          </w:tcPr>
          <w:p>
            <w:pPr>
              <w:spacing w:after="0"/>
            </w:pPr>
            <w:r>
              <w:rPr>
                <w:sz w:val="17"/>
              </w:rPr>
              <w:t>C177</w:t>
            </w:r>
          </w:p>
        </w:tc>
        <w:tc>
          <w:tcPr>
            <w:tcW w:type="dxa" w:w="1152"/>
            <w:tcMar>
              <w:top w:w="100" w:type="dxa"/>
              <w:start w:w="120" w:type="dxa"/>
              <w:bottom w:w="100" w:type="dxa"/>
              <w:end w:w="120" w:type="dxa"/>
            </w:tcMar>
            <w:vAlign w:val="center"/>
          </w:tcPr>
          <w:p>
            <w:pPr>
              <w:spacing w:after="0"/>
            </w:pPr>
            <w:r>
              <w:rPr>
                <w:sz w:val="17"/>
              </w:rPr>
              <w:t>0.598503</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0</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9</w:t>
            </w:r>
          </w:p>
        </w:tc>
        <w:tc>
          <w:tcPr>
            <w:tcW w:type="dxa" w:w="1080"/>
            <w:tcMar>
              <w:top w:w="100" w:type="dxa"/>
              <w:start w:w="120" w:type="dxa"/>
              <w:bottom w:w="100" w:type="dxa"/>
              <w:end w:w="120" w:type="dxa"/>
            </w:tcMar>
            <w:vAlign w:val="center"/>
          </w:tcPr>
          <w:p>
            <w:pPr>
              <w:spacing w:after="0"/>
            </w:pPr>
            <w:r>
              <w:rPr>
                <w:sz w:val="17"/>
              </w:rPr>
              <w:t>C165</w:t>
            </w:r>
          </w:p>
        </w:tc>
        <w:tc>
          <w:tcPr>
            <w:tcW w:type="dxa" w:w="1152"/>
            <w:tcMar>
              <w:top w:w="100" w:type="dxa"/>
              <w:start w:w="120" w:type="dxa"/>
              <w:bottom w:w="100" w:type="dxa"/>
              <w:end w:w="120" w:type="dxa"/>
            </w:tcMar>
            <w:vAlign w:val="center"/>
          </w:tcPr>
          <w:p>
            <w:pPr>
              <w:spacing w:after="0"/>
            </w:pPr>
            <w:r>
              <w:rPr>
                <w:sz w:val="17"/>
              </w:rPr>
              <w:t>0.598503</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0</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648"/>
            <w:tcMar>
              <w:top w:w="100" w:type="dxa"/>
              <w:start w:w="120" w:type="dxa"/>
              <w:bottom w:w="100" w:type="dxa"/>
              <w:end w:w="120" w:type="dxa"/>
            </w:tcMar>
            <w:vAlign w:val="center"/>
          </w:tcPr>
          <w:p>
            <w:pPr>
              <w:spacing w:after="0"/>
            </w:pPr>
            <w:r>
              <w:rPr>
                <w:sz w:val="17"/>
              </w:rPr>
              <w:t>10</w:t>
            </w:r>
          </w:p>
        </w:tc>
        <w:tc>
          <w:tcPr>
            <w:tcW w:type="dxa" w:w="1080"/>
            <w:tcMar>
              <w:top w:w="100" w:type="dxa"/>
              <w:start w:w="120" w:type="dxa"/>
              <w:bottom w:w="100" w:type="dxa"/>
              <w:end w:w="120" w:type="dxa"/>
            </w:tcMar>
            <w:vAlign w:val="center"/>
          </w:tcPr>
          <w:p>
            <w:pPr>
              <w:spacing w:after="0"/>
            </w:pPr>
            <w:r>
              <w:rPr>
                <w:sz w:val="17"/>
              </w:rPr>
              <w:t>C137</w:t>
            </w:r>
          </w:p>
        </w:tc>
        <w:tc>
          <w:tcPr>
            <w:tcW w:type="dxa" w:w="1152"/>
            <w:tcMar>
              <w:top w:w="100" w:type="dxa"/>
              <w:start w:w="120" w:type="dxa"/>
              <w:bottom w:w="100" w:type="dxa"/>
              <w:end w:w="120" w:type="dxa"/>
            </w:tcMar>
            <w:vAlign w:val="center"/>
          </w:tcPr>
          <w:p>
            <w:pPr>
              <w:spacing w:after="0"/>
            </w:pPr>
            <w:r>
              <w:rPr>
                <w:sz w:val="17"/>
              </w:rPr>
              <w:t>0.598503</w:t>
            </w:r>
          </w:p>
        </w:tc>
        <w:tc>
          <w:tcPr>
            <w:tcW w:type="dxa" w:w="1080"/>
            <w:tcMar>
              <w:top w:w="100" w:type="dxa"/>
              <w:start w:w="120" w:type="dxa"/>
              <w:bottom w:w="100" w:type="dxa"/>
              <w:end w:w="120" w:type="dxa"/>
            </w:tcMar>
            <w:vAlign w:val="center"/>
          </w:tcPr>
          <w:p>
            <w:pPr>
              <w:spacing w:after="0"/>
            </w:pPr>
            <w:r>
              <w:rPr>
                <w:sz w:val="17"/>
              </w:rPr>
              <w:t>1</w:t>
            </w:r>
          </w:p>
        </w:tc>
        <w:tc>
          <w:tcPr>
            <w:tcW w:type="dxa" w:w="1080"/>
            <w:tcMar>
              <w:top w:w="100" w:type="dxa"/>
              <w:start w:w="120" w:type="dxa"/>
              <w:bottom w:w="100" w:type="dxa"/>
              <w:end w:w="120" w:type="dxa"/>
            </w:tcMar>
            <w:vAlign w:val="center"/>
          </w:tcPr>
          <w:p>
            <w:pPr>
              <w:spacing w:after="0"/>
            </w:pPr>
            <w:r>
              <w:rPr>
                <w:sz w:val="17"/>
              </w:rPr>
              <w:t>0</w:t>
            </w:r>
          </w:p>
        </w:tc>
        <w:tc>
          <w:tcPr>
            <w:tcW w:type="dxa" w:w="1080"/>
            <w:tcMar>
              <w:top w:w="100" w:type="dxa"/>
              <w:start w:w="120" w:type="dxa"/>
              <w:bottom w:w="100" w:type="dxa"/>
              <w:end w:w="120" w:type="dxa"/>
            </w:tcMar>
            <w:vAlign w:val="center"/>
          </w:tcPr>
          <w:p>
            <w:pPr>
              <w:spacing w:after="0"/>
            </w:pPr>
            <w:r>
              <w:rPr>
                <w:sz w:val="17"/>
              </w:rPr>
              <w:t>1</w:t>
            </w:r>
          </w:p>
        </w:tc>
        <w:tc>
          <w:tcPr>
            <w:tcW w:type="dxa" w:w="3600"/>
            <w:tcMar>
              <w:top w:w="100" w:type="dxa"/>
              <w:start w:w="120" w:type="dxa"/>
              <w:bottom w:w="100" w:type="dxa"/>
              <w:end w:w="120" w:type="dxa"/>
            </w:tcMar>
            <w:vAlign w:val="center"/>
          </w:tcPr>
          <w:p>
            <w:pPr>
              <w:spacing w:after="0"/>
            </w:pPr>
            <w:r>
              <w:rPr>
                <w:sz w:val="17"/>
              </w:rPr>
              <w:t>high text promotion signal; public-report channel overlap</w:t>
            </w:r>
          </w:p>
        </w:tc>
      </w:tr>
    </w:tbl>
    <w:p/>
    <w:p>
      <w:pPr>
        <w:keepNext/>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top_priority_clusters.png"/>
                    <pic:cNvPicPr/>
                  </pic:nvPicPr>
                  <pic:blipFill>
                    <a:blip r:embed="rId12"/>
                    <a:stretch>
                      <a:fillRect/>
                    </a:stretch>
                  </pic:blipFill>
                  <pic:spPr>
                    <a:xfrm>
                      <a:off x="0" y="0"/>
                      <a:ext cx="5303520" cy="3182112"/>
                    </a:xfrm>
                    <a:prstGeom prst="rect"/>
                  </pic:spPr>
                </pic:pic>
              </a:graphicData>
            </a:graphic>
          </wp:inline>
        </w:drawing>
      </w:r>
    </w:p>
    <w:p>
      <w:pPr>
        <w:spacing w:before="40" w:after="160"/>
        <w:jc w:val="center"/>
      </w:pPr>
      <w:r>
        <w:rPr>
          <w:i/>
          <w:sz w:val="18"/>
        </w:rPr>
        <w:t>Gambar 4. Skor prioritas sepuluh cluster teratas.</w:t>
      </w:r>
    </w:p>
    <w:p>
      <w:r>
        <w:br w:type="page"/>
      </w:r>
    </w:p>
    <w:p>
      <w:pPr>
        <w:pStyle w:val="Heading1"/>
        <w:keepNext/>
      </w:pPr>
      <w:r>
        <w:t>7. Studi Kasus dan Dashboard</w:t>
      </w:r>
    </w:p>
    <w:p>
      <w:pPr>
        <w:pStyle w:val="BodyText"/>
        <w:jc w:val="both"/>
      </w:pPr>
      <w:r>
        <w:t>Dashboard JudolFlow Watch dirancang untuk reviewer. Tampilan utama berisi Top-K review queue, profil cluster, alasan prioritas, contoh teks yang telah dimasking, distribusi platform, feature importance, ablation, dan fairness/subgroup check. Desain dashboard menegaskan batas etis: output adalah antrian tinjauan manusia, bukan vonis otomatis.</w:t>
      </w:r>
    </w:p>
    <w:p>
      <w:pPr>
        <w:keepNext/>
        <w:jc w:val="center"/>
      </w:pPr>
      <w:r>
        <w:rPr>
          <w:b/>
          <w:sz w:val="18"/>
        </w:rPr>
        <w:t>Tabel 10. Studi kasus lima cluster prioritas.</w:t>
      </w:r>
    </w:p>
    <w:tbl>
      <w:tblPr>
        <w:tblStyle w:val="TableGrid"/>
        <w:tblW w:type="auto" w:w="0"/>
        <w:jc w:val="center"/>
        <w:tblLook w:firstColumn="1" w:firstRow="1" w:lastColumn="0" w:lastRow="0" w:noHBand="0" w:noVBand="1" w:val="04A0"/>
      </w:tblPr>
      <w:tblGrid>
        <w:gridCol w:w="2450"/>
        <w:gridCol w:w="2450"/>
        <w:gridCol w:w="2450"/>
        <w:gridCol w:w="2450"/>
      </w:tblGrid>
      <w:tr>
        <w:trPr>
          <w:tblHeader w:val="true"/>
        </w:trPr>
        <w:tc>
          <w:tcPr>
            <w:tcW w:type="dxa" w:w="792"/>
            <w:shd w:fill="E7E5DF"/>
            <w:tcMar>
              <w:top w:w="100" w:type="dxa"/>
              <w:start w:w="120" w:type="dxa"/>
              <w:bottom w:w="100" w:type="dxa"/>
              <w:end w:w="120" w:type="dxa"/>
            </w:tcMar>
            <w:vAlign w:val="center"/>
          </w:tcPr>
          <w:p>
            <w:r>
              <w:rPr>
                <w:b/>
                <w:sz w:val="17"/>
              </w:rPr>
              <w:t>rank</w:t>
            </w:r>
          </w:p>
        </w:tc>
        <w:tc>
          <w:tcPr>
            <w:tcW w:type="dxa" w:w="1224"/>
            <w:shd w:fill="E7E5DF"/>
            <w:tcMar>
              <w:top w:w="100" w:type="dxa"/>
              <w:start w:w="120" w:type="dxa"/>
              <w:bottom w:w="100" w:type="dxa"/>
              <w:end w:w="120" w:type="dxa"/>
            </w:tcMar>
            <w:vAlign w:val="center"/>
          </w:tcPr>
          <w:p>
            <w:r>
              <w:rPr>
                <w:b/>
                <w:sz w:val="17"/>
              </w:rPr>
              <w:t>cluster_id</w:t>
            </w:r>
          </w:p>
        </w:tc>
        <w:tc>
          <w:tcPr>
            <w:tcW w:type="dxa" w:w="1368"/>
            <w:shd w:fill="E7E5DF"/>
            <w:tcMar>
              <w:top w:w="100" w:type="dxa"/>
              <w:start w:w="120" w:type="dxa"/>
              <w:bottom w:w="100" w:type="dxa"/>
              <w:end w:w="120" w:type="dxa"/>
            </w:tcMar>
            <w:vAlign w:val="center"/>
          </w:tcPr>
          <w:p>
            <w:r>
              <w:rPr>
                <w:b/>
                <w:sz w:val="17"/>
              </w:rPr>
              <w:t>priority_score</w:t>
            </w:r>
          </w:p>
        </w:tc>
        <w:tc>
          <w:tcPr>
            <w:tcW w:type="dxa" w:w="5472"/>
            <w:shd w:fill="E7E5DF"/>
            <w:tcMar>
              <w:top w:w="100" w:type="dxa"/>
              <w:start w:w="120" w:type="dxa"/>
              <w:bottom w:w="100" w:type="dxa"/>
              <w:end w:w="120" w:type="dxa"/>
            </w:tcMar>
            <w:vAlign w:val="center"/>
          </w:tcPr>
          <w:p>
            <w:r>
              <w:rPr>
                <w:b/>
                <w:sz w:val="17"/>
              </w:rPr>
              <w:t>top_reasons</w:t>
            </w:r>
          </w:p>
        </w:tc>
      </w:tr>
      <w:tr>
        <w:tc>
          <w:tcPr>
            <w:tcW w:type="dxa" w:w="792"/>
            <w:tcMar>
              <w:top w:w="100" w:type="dxa"/>
              <w:start w:w="120" w:type="dxa"/>
              <w:bottom w:w="100" w:type="dxa"/>
              <w:end w:w="120" w:type="dxa"/>
            </w:tcMar>
            <w:vAlign w:val="center"/>
          </w:tcPr>
          <w:p>
            <w:pPr>
              <w:spacing w:after="0"/>
            </w:pPr>
            <w:r>
              <w:rPr>
                <w:sz w:val="17"/>
              </w:rPr>
              <w:t>1</w:t>
            </w:r>
          </w:p>
        </w:tc>
        <w:tc>
          <w:tcPr>
            <w:tcW w:type="dxa" w:w="1224"/>
            <w:tcMar>
              <w:top w:w="100" w:type="dxa"/>
              <w:start w:w="120" w:type="dxa"/>
              <w:bottom w:w="100" w:type="dxa"/>
              <w:end w:w="120" w:type="dxa"/>
            </w:tcMar>
            <w:vAlign w:val="center"/>
          </w:tcPr>
          <w:p>
            <w:pPr>
              <w:spacing w:after="0"/>
            </w:pPr>
            <w:r>
              <w:rPr>
                <w:sz w:val="17"/>
              </w:rPr>
              <w:t>C295</w:t>
            </w:r>
          </w:p>
        </w:tc>
        <w:tc>
          <w:tcPr>
            <w:tcW w:type="dxa" w:w="1368"/>
            <w:tcMar>
              <w:top w:w="100" w:type="dxa"/>
              <w:start w:w="120" w:type="dxa"/>
              <w:bottom w:w="100" w:type="dxa"/>
              <w:end w:w="120" w:type="dxa"/>
            </w:tcMar>
            <w:vAlign w:val="center"/>
          </w:tcPr>
          <w:p>
            <w:pPr>
              <w:spacing w:after="0"/>
            </w:pPr>
            <w:r>
              <w:rPr>
                <w:sz w:val="17"/>
              </w:rPr>
              <w:t>0.9563903481322282</w:t>
            </w:r>
          </w:p>
        </w:tc>
        <w:tc>
          <w:tcPr>
            <w:tcW w:type="dxa" w:w="5472"/>
            <w:tcMar>
              <w:top w:w="100" w:type="dxa"/>
              <w:start w:w="120" w:type="dxa"/>
              <w:bottom w:w="100" w:type="dxa"/>
              <w:end w:w="120" w:type="dxa"/>
            </w:tcMar>
            <w:vAlign w:val="center"/>
          </w:tcPr>
          <w:p>
            <w:pPr>
              <w:spacing w:after="0"/>
            </w:pPr>
            <w:r>
              <w:rPr>
                <w:sz w:val="17"/>
              </w:rPr>
              <w:t>high text promotion signal; cross-platform recurrence; multiple masked domains; multi-entity evidence</w:t>
            </w:r>
          </w:p>
        </w:tc>
      </w:tr>
      <w:tr>
        <w:tc>
          <w:tcPr>
            <w:tcW w:type="dxa" w:w="792"/>
            <w:tcMar>
              <w:top w:w="100" w:type="dxa"/>
              <w:start w:w="120" w:type="dxa"/>
              <w:bottom w:w="100" w:type="dxa"/>
              <w:end w:w="120" w:type="dxa"/>
            </w:tcMar>
            <w:vAlign w:val="center"/>
          </w:tcPr>
          <w:p>
            <w:pPr>
              <w:spacing w:after="0"/>
            </w:pPr>
            <w:r>
              <w:rPr>
                <w:sz w:val="17"/>
              </w:rPr>
              <w:t>2</w:t>
            </w:r>
          </w:p>
        </w:tc>
        <w:tc>
          <w:tcPr>
            <w:tcW w:type="dxa" w:w="1224"/>
            <w:tcMar>
              <w:top w:w="100" w:type="dxa"/>
              <w:start w:w="120" w:type="dxa"/>
              <w:bottom w:w="100" w:type="dxa"/>
              <w:end w:w="120" w:type="dxa"/>
            </w:tcMar>
            <w:vAlign w:val="center"/>
          </w:tcPr>
          <w:p>
            <w:pPr>
              <w:spacing w:after="0"/>
            </w:pPr>
            <w:r>
              <w:rPr>
                <w:sz w:val="17"/>
              </w:rPr>
              <w:t>C162</w:t>
            </w:r>
          </w:p>
        </w:tc>
        <w:tc>
          <w:tcPr>
            <w:tcW w:type="dxa" w:w="1368"/>
            <w:tcMar>
              <w:top w:w="100" w:type="dxa"/>
              <w:start w:w="120" w:type="dxa"/>
              <w:bottom w:w="100" w:type="dxa"/>
              <w:end w:w="120" w:type="dxa"/>
            </w:tcMar>
            <w:vAlign w:val="center"/>
          </w:tcPr>
          <w:p>
            <w:pPr>
              <w:spacing w:after="0"/>
            </w:pPr>
            <w:r>
              <w:rPr>
                <w:sz w:val="17"/>
              </w:rPr>
              <w:t>0.6405077808509546</w:t>
            </w:r>
          </w:p>
        </w:tc>
        <w:tc>
          <w:tcPr>
            <w:tcW w:type="dxa" w:w="5472"/>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792"/>
            <w:tcMar>
              <w:top w:w="100" w:type="dxa"/>
              <w:start w:w="120" w:type="dxa"/>
              <w:bottom w:w="100" w:type="dxa"/>
              <w:end w:w="120" w:type="dxa"/>
            </w:tcMar>
            <w:vAlign w:val="center"/>
          </w:tcPr>
          <w:p>
            <w:pPr>
              <w:spacing w:after="0"/>
            </w:pPr>
            <w:r>
              <w:rPr>
                <w:sz w:val="17"/>
              </w:rPr>
              <w:t>3</w:t>
            </w:r>
          </w:p>
        </w:tc>
        <w:tc>
          <w:tcPr>
            <w:tcW w:type="dxa" w:w="1224"/>
            <w:tcMar>
              <w:top w:w="100" w:type="dxa"/>
              <w:start w:w="120" w:type="dxa"/>
              <w:bottom w:w="100" w:type="dxa"/>
              <w:end w:w="120" w:type="dxa"/>
            </w:tcMar>
            <w:vAlign w:val="center"/>
          </w:tcPr>
          <w:p>
            <w:pPr>
              <w:spacing w:after="0"/>
            </w:pPr>
            <w:r>
              <w:rPr>
                <w:sz w:val="17"/>
              </w:rPr>
              <w:t>C221</w:t>
            </w:r>
          </w:p>
        </w:tc>
        <w:tc>
          <w:tcPr>
            <w:tcW w:type="dxa" w:w="1368"/>
            <w:tcMar>
              <w:top w:w="100" w:type="dxa"/>
              <w:start w:w="120" w:type="dxa"/>
              <w:bottom w:w="100" w:type="dxa"/>
              <w:end w:w="120" w:type="dxa"/>
            </w:tcMar>
            <w:vAlign w:val="center"/>
          </w:tcPr>
          <w:p>
            <w:pPr>
              <w:spacing w:after="0"/>
            </w:pPr>
            <w:r>
              <w:rPr>
                <w:sz w:val="17"/>
              </w:rPr>
              <w:t>0.6379584664898323</w:t>
            </w:r>
          </w:p>
        </w:tc>
        <w:tc>
          <w:tcPr>
            <w:tcW w:type="dxa" w:w="5472"/>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792"/>
            <w:tcMar>
              <w:top w:w="100" w:type="dxa"/>
              <w:start w:w="120" w:type="dxa"/>
              <w:bottom w:w="100" w:type="dxa"/>
              <w:end w:w="120" w:type="dxa"/>
            </w:tcMar>
            <w:vAlign w:val="center"/>
          </w:tcPr>
          <w:p>
            <w:pPr>
              <w:spacing w:after="0"/>
            </w:pPr>
            <w:r>
              <w:rPr>
                <w:sz w:val="17"/>
              </w:rPr>
              <w:t>4</w:t>
            </w:r>
          </w:p>
        </w:tc>
        <w:tc>
          <w:tcPr>
            <w:tcW w:type="dxa" w:w="1224"/>
            <w:tcMar>
              <w:top w:w="100" w:type="dxa"/>
              <w:start w:w="120" w:type="dxa"/>
              <w:bottom w:w="100" w:type="dxa"/>
              <w:end w:w="120" w:type="dxa"/>
            </w:tcMar>
            <w:vAlign w:val="center"/>
          </w:tcPr>
          <w:p>
            <w:pPr>
              <w:spacing w:after="0"/>
            </w:pPr>
            <w:r>
              <w:rPr>
                <w:sz w:val="17"/>
              </w:rPr>
              <w:t>C269</w:t>
            </w:r>
          </w:p>
        </w:tc>
        <w:tc>
          <w:tcPr>
            <w:tcW w:type="dxa" w:w="1368"/>
            <w:tcMar>
              <w:top w:w="100" w:type="dxa"/>
              <w:start w:w="120" w:type="dxa"/>
              <w:bottom w:w="100" w:type="dxa"/>
              <w:end w:w="120" w:type="dxa"/>
            </w:tcMar>
            <w:vAlign w:val="center"/>
          </w:tcPr>
          <w:p>
            <w:pPr>
              <w:spacing w:after="0"/>
            </w:pPr>
            <w:r>
              <w:rPr>
                <w:sz w:val="17"/>
              </w:rPr>
              <w:t>0.6175676236417057</w:t>
            </w:r>
          </w:p>
        </w:tc>
        <w:tc>
          <w:tcPr>
            <w:tcW w:type="dxa" w:w="5472"/>
            <w:tcMar>
              <w:top w:w="100" w:type="dxa"/>
              <w:start w:w="120" w:type="dxa"/>
              <w:bottom w:w="100" w:type="dxa"/>
              <w:end w:w="120" w:type="dxa"/>
            </w:tcMar>
            <w:vAlign w:val="center"/>
          </w:tcPr>
          <w:p>
            <w:pPr>
              <w:spacing w:after="0"/>
            </w:pPr>
            <w:r>
              <w:rPr>
                <w:sz w:val="17"/>
              </w:rPr>
              <w:t>high text promotion signal; public-report channel overlap</w:t>
            </w:r>
          </w:p>
        </w:tc>
      </w:tr>
      <w:tr>
        <w:tc>
          <w:tcPr>
            <w:tcW w:type="dxa" w:w="792"/>
            <w:tcMar>
              <w:top w:w="100" w:type="dxa"/>
              <w:start w:w="120" w:type="dxa"/>
              <w:bottom w:w="100" w:type="dxa"/>
              <w:end w:w="120" w:type="dxa"/>
            </w:tcMar>
            <w:vAlign w:val="center"/>
          </w:tcPr>
          <w:p>
            <w:pPr>
              <w:spacing w:after="0"/>
            </w:pPr>
            <w:r>
              <w:rPr>
                <w:sz w:val="17"/>
              </w:rPr>
              <w:t>5</w:t>
            </w:r>
          </w:p>
        </w:tc>
        <w:tc>
          <w:tcPr>
            <w:tcW w:type="dxa" w:w="1224"/>
            <w:tcMar>
              <w:top w:w="100" w:type="dxa"/>
              <w:start w:w="120" w:type="dxa"/>
              <w:bottom w:w="100" w:type="dxa"/>
              <w:end w:w="120" w:type="dxa"/>
            </w:tcMar>
            <w:vAlign w:val="center"/>
          </w:tcPr>
          <w:p>
            <w:pPr>
              <w:spacing w:after="0"/>
            </w:pPr>
            <w:r>
              <w:rPr>
                <w:sz w:val="17"/>
              </w:rPr>
              <w:t>C074</w:t>
            </w:r>
          </w:p>
        </w:tc>
        <w:tc>
          <w:tcPr>
            <w:tcW w:type="dxa" w:w="1368"/>
            <w:tcMar>
              <w:top w:w="100" w:type="dxa"/>
              <w:start w:w="120" w:type="dxa"/>
              <w:bottom w:w="100" w:type="dxa"/>
              <w:end w:w="120" w:type="dxa"/>
            </w:tcMar>
            <w:vAlign w:val="center"/>
          </w:tcPr>
          <w:p>
            <w:pPr>
              <w:spacing w:after="0"/>
            </w:pPr>
            <w:r>
              <w:rPr>
                <w:sz w:val="17"/>
              </w:rPr>
              <w:t>0.6153491915097555</w:t>
            </w:r>
          </w:p>
        </w:tc>
        <w:tc>
          <w:tcPr>
            <w:tcW w:type="dxa" w:w="5472"/>
            <w:tcMar>
              <w:top w:w="100" w:type="dxa"/>
              <w:start w:w="120" w:type="dxa"/>
              <w:bottom w:w="100" w:type="dxa"/>
              <w:end w:w="120" w:type="dxa"/>
            </w:tcMar>
            <w:vAlign w:val="center"/>
          </w:tcPr>
          <w:p>
            <w:pPr>
              <w:spacing w:after="0"/>
            </w:pPr>
            <w:r>
              <w:rPr>
                <w:sz w:val="17"/>
              </w:rPr>
              <w:t>high text promotion signal; public-report channel overlap</w:t>
            </w:r>
          </w:p>
        </w:tc>
      </w:tr>
    </w:tbl>
    <w:p/>
    <w:p>
      <w:pPr>
        <w:pStyle w:val="Heading2"/>
        <w:keepNext/>
      </w:pPr>
      <w:r>
        <w:t>Contoh Interpretasi</w:t>
      </w:r>
    </w:p>
    <w:p>
      <w:pPr>
        <w:pStyle w:val="BodyText"/>
        <w:jc w:val="both"/>
      </w:pPr>
      <w:r>
        <w:t>Cluster C295 diprioritaskan karena high text promotion signal; cross-platform recurrence; multiple masked domains; multi-entity evidence; skor model rata-rata 0.802 dan bukti berasal dari 6 tipe kanal.</w:t>
      </w:r>
    </w:p>
    <w:p>
      <w:pPr>
        <w:pStyle w:val="BodyText"/>
        <w:jc w:val="both"/>
      </w:pPr>
      <w:r>
        <w:t>Cluster C162 diprioritaskan karena high text promotion signal; public-report channel overlap; skor model rata-rata 0.905 dan bukti berasal dari 2 tipe kanal.</w:t>
      </w:r>
    </w:p>
    <w:p>
      <w:pPr>
        <w:pStyle w:val="BodyText"/>
        <w:jc w:val="both"/>
      </w:pPr>
      <w:r>
        <w:t>Cluster C221 diprioritaskan karena high text promotion signal; public-report channel overlap; skor model rata-rata 0.905 dan bukti berasal dari 2 tipe kanal.</w:t>
      </w:r>
    </w:p>
    <w:p>
      <w:pPr>
        <w:keepNext/>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dashboard_preview.png"/>
                    <pic:cNvPicPr/>
                  </pic:nvPicPr>
                  <pic:blipFill>
                    <a:blip r:embed="rId13"/>
                    <a:stretch>
                      <a:fillRect/>
                    </a:stretch>
                  </pic:blipFill>
                  <pic:spPr>
                    <a:xfrm>
                      <a:off x="0" y="0"/>
                      <a:ext cx="5577840" cy="3486150"/>
                    </a:xfrm>
                    <a:prstGeom prst="rect"/>
                  </pic:spPr>
                </pic:pic>
              </a:graphicData>
            </a:graphic>
          </wp:inline>
        </w:drawing>
      </w:r>
    </w:p>
    <w:p>
      <w:pPr>
        <w:spacing w:before="40" w:after="160"/>
        <w:jc w:val="center"/>
      </w:pPr>
      <w:r>
        <w:rPr>
          <w:i/>
          <w:sz w:val="18"/>
        </w:rPr>
        <w:t>Gambar 5. Pratinjau dashboard JudolFlow Watch.</w:t>
      </w:r>
    </w:p>
    <w:p>
      <w:pPr>
        <w:pStyle w:val="Heading1"/>
        <w:keepNext/>
      </w:pPr>
      <w:r>
        <w:t>8. Keterbatasan dan Risiko</w:t>
      </w:r>
    </w:p>
    <w:p>
      <w:pPr>
        <w:pStyle w:val="ListBullet"/>
        <w:spacing w:after="60"/>
      </w:pPr>
      <w:r>
        <w:t>Corpus bawaan adalah data prototipe anonim, bukan bukti lapangan. Dataset final harus berasal dari sumber publik/legal dan dianotasi tim.</w:t>
      </w:r>
    </w:p>
    <w:p>
      <w:pPr>
        <w:pStyle w:val="ListBullet"/>
        <w:spacing w:after="60"/>
      </w:pPr>
      <w:r>
        <w:t>Weak supervision rentan bias terhadap kata kunci. Konten edukasi yang mengutip istilah judi bisa menjadi false positive.</w:t>
      </w:r>
    </w:p>
    <w:p>
      <w:pPr>
        <w:pStyle w:val="ListBullet"/>
        <w:spacing w:after="60"/>
      </w:pPr>
      <w:r>
        <w:t>Regex entity extraction belum cukup untuk OCR rusak, bahasa campuran, atau obfuscation baru.</w:t>
      </w:r>
    </w:p>
    <w:p>
      <w:pPr>
        <w:pStyle w:val="ListBullet"/>
        <w:spacing w:after="60"/>
      </w:pPr>
      <w:r>
        <w:t>Ranking cluster dapat memprioritaskan jaringan besar; reviewer perlu melihat alasan fitur agar cluster kecil tetapi berbahaya tidak terlewat.</w:t>
      </w:r>
    </w:p>
    <w:p>
      <w:pPr>
        <w:pStyle w:val="ListBullet"/>
        <w:spacing w:after="60"/>
      </w:pPr>
      <w:r>
        <w:t>Sistem tidak boleh mengungkap live illegal identifier karena dapat menimbulkan risiko penyebaran ulang atau membantu aktor menguji evasion.</w:t>
      </w:r>
    </w:p>
    <w:p>
      <w:pPr>
        <w:pStyle w:val="Heading1"/>
        <w:keepNext/>
      </w:pPr>
      <w:r>
        <w:t>9. Kesimpulan</w:t>
      </w:r>
    </w:p>
    <w:p>
      <w:pPr>
        <w:pStyle w:val="BodyText"/>
        <w:jc w:val="both"/>
      </w:pPr>
      <w:r>
        <w:t>JudolFlow-X mengubah masalah deteksi judi online dari klasifikasi tunggal menjadi ranking cluster berbasis multi-sinyal. Pipeline yang dibangun sudah mencakup dataset builder, ekstraksi entitas, graf ko-kemunculan, model klasifikasi, ranking cluster, ablation, stability check, case study, dashboard, serta technical report. Kekuatan utama pendekatan ini adalah kesesuaian dengan operasi tinjauan: reviewer dapat melihat cluster prioritas, alasan fitur, dan contoh yang telah dimasking.</w:t>
      </w:r>
    </w:p>
    <w:p>
      <w:pPr>
        <w:pStyle w:val="BodyText"/>
        <w:jc w:val="both"/>
      </w:pPr>
      <w:r>
        <w:t>Pengembangan berikutnya adalah memasukkan data publik beranotasi, menambah OCR screenshot yang legal, menguji embedding retrieval, menerapkan hard-example mining, dan melakukan evaluasi antar-platform. Dengan validasi manusia yang kuat, JudolFlow-X dapat menjadi karya data mining yang relevan dengan kemandirian bangsa melalui perlindungan ruang digital Indonesia.</w:t>
      </w:r>
    </w:p>
    <w:p>
      <w:pPr>
        <w:pStyle w:val="Heading1"/>
        <w:keepNext/>
      </w:pPr>
      <w:r>
        <w:t>Daftar Pustaka</w:t>
      </w:r>
    </w:p>
    <w:p>
      <w:pPr>
        <w:ind w:left="283" w:hanging="283"/>
      </w:pPr>
      <w:r>
        <w:rPr>
          <w:sz w:val="19"/>
        </w:rPr>
        <w:t>[1] Kementerian Komunikasi dan Digital Republik Indonesia. Dirjen Wasdig Minta Masyarakat Waspada Penipuan Permintaan Data Pribadi Terkait Judi Online. https://portal.komdigi.go.id/kanal-publik/berita-kini/9397</w:t>
      </w:r>
    </w:p>
    <w:p>
      <w:pPr>
        <w:ind w:left="283" w:hanging="283"/>
      </w:pPr>
      <w:r>
        <w:rPr>
          <w:sz w:val="19"/>
        </w:rPr>
        <w:t>[2] Kementerian Komunikasi dan Digital Republik Indonesia. SAMAN Siap Operasi Penuh Oktober, 2,1 Juta Konten Judol Sudah Ditindak. https://portal.komdigi.go.id/kanal-publik/berita-kini/9623</w:t>
      </w:r>
    </w:p>
    <w:p>
      <w:pPr>
        <w:ind w:left="283" w:hanging="283"/>
      </w:pPr>
      <w:r>
        <w:rPr>
          <w:sz w:val="19"/>
        </w:rPr>
        <w:t>[3] Kementerian Komunikasi dan Digital Republik Indonesia. 23 Ribu Rekening Judi Online Diblokir, Publik Diminta Aktif Melapor. https://portal.komdigi.go.id/kanal-publik/berita-kini/9712</w:t>
      </w:r>
    </w:p>
    <w:p>
      <w:pPr>
        <w:ind w:left="283" w:hanging="283"/>
      </w:pPr>
      <w:r>
        <w:rPr>
          <w:sz w:val="19"/>
        </w:rPr>
        <w:t>[4] PPATK. Pemerintah Tegaskan Perang Total terhadap Judi Online dan Pencucian Uang. https://www.ppatk.go.id/news/read/1555/pemerintah-tegaskan-perang-total-terhadap-judi-online-dan-pencucian-uang.html</w:t>
      </w:r>
    </w:p>
    <w:p>
      <w:pPr>
        <w:ind w:left="283" w:hanging="283"/>
      </w:pPr>
      <w:r>
        <w:rPr>
          <w:sz w:val="19"/>
        </w:rPr>
        <w:t>[5] Otoritas Jasa Keuangan. OJK Memerintahkan Bank untuk Memblokir Rekening yang Terlibat dalam Kegiatan Judi Online. https://www.ojk.go.id/id/berita-dan-kegiatan/siaran-pers/Documents/Pages/OJK-Memerintahkan-Bank-untuk-Memblokir-Rekening-yang-Terlibat-dalam-Kegiatan-Judi-Online/SP%20-%20OJK%20MEMERINTAHKAN%20BANK%20UNTUK%20MEMBLOKIR%20REKENING%20YANG%20TERLIBAT%20DALAM%20KEGIATAN%20JUDI%20ONLINE.pdf</w:t>
      </w:r>
    </w:p>
    <w:p>
      <w:pPr>
        <w:ind w:left="283" w:hanging="283"/>
      </w:pPr>
      <w:r>
        <w:rPr>
          <w:sz w:val="19"/>
        </w:rPr>
        <w:t>[6] N. Reimers and I. Gurevych. Sentence-BERT: Sentence Embeddings using Siamese BERT-Networks. EMNLP-IJCNLP, 2019. https://aclanthology.org/D19-1410/</w:t>
      </w:r>
    </w:p>
    <w:p>
      <w:pPr>
        <w:ind w:left="283" w:hanging="283"/>
      </w:pPr>
      <w:r>
        <w:rPr>
          <w:sz w:val="19"/>
        </w:rPr>
        <w:t>[7] J. Devlin, M. Chang, K. Lee, and K. Toutanova. BERT: Pre-training of Deep Bidirectional Transformers for Language Understanding. NAACL, 2019. https://aclanthology.org/N19-1423/</w:t>
      </w:r>
    </w:p>
    <w:p>
      <w:pPr>
        <w:ind w:left="283" w:hanging="283"/>
      </w:pPr>
      <w:r>
        <w:rPr>
          <w:sz w:val="19"/>
        </w:rPr>
        <w:t>[8] W. L. Hamilton, R. Ying, and J. Leskovec. Inductive Representation Learning on Large Graphs. NeurIPS, 2017. https://papers.nips.cc/paper/6703-inductive-representation-learning-on-large-graphs</w:t>
      </w:r>
    </w:p>
    <w:sectPr w:rsidR="00FC693F" w:rsidRPr="0006063C" w:rsidSect="00034616">
      <w:pgSz w:w="12240" w:h="15840"/>
      <w:pgMar w:top="1191"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0182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0182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0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