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rFonts w:ascii="Times New Roman" w:hAnsi="Times New Roman"/>
          <w:b/>
          <w:sz w:val="34"/>
        </w:rPr>
        <w:t>PanganFlow.ID: Penambangan Pola Surplus-Defisit dan Rekomendasi Redistribusi Beras Antarprovinsi</w:t>
      </w:r>
    </w:p>
    <w:p>
      <w:pPr>
        <w:jc w:val="center"/>
      </w:pPr>
      <w:r>
        <w:rPr>
          <w:rFonts w:ascii="Times New Roman" w:hAnsi="Times New Roman"/>
          <w:sz w:val="17"/>
        </w:rPr>
        <w:t>Nama Ketua Tim1, Nama Anggota Tim 12, Nama Anggota Tim 23, Nama Pembimbing4</w:t>
      </w:r>
    </w:p>
    <w:p>
      <w:pPr>
        <w:jc w:val="center"/>
      </w:pPr>
      <w:r>
        <w:rPr>
          <w:rFonts w:ascii="Times New Roman" w:hAnsi="Times New Roman"/>
          <w:sz w:val="17"/>
        </w:rPr>
        <w:t>1,2,3Program Studi / Fakultas, Nama Universitas, Kota, Indonesia</w:t>
      </w:r>
    </w:p>
    <w:p>
      <w:pPr>
        <w:jc w:val="center"/>
      </w:pPr>
      <w:r>
        <w:rPr>
          <w:rFonts w:ascii="Times New Roman" w:hAnsi="Times New Roman"/>
          <w:sz w:val="17"/>
        </w:rPr>
        <w:t>4Program Studi / Fakultas, Nama Universitas, Kota, Indonesia</w:t>
      </w:r>
    </w:p>
    <w:p>
      <w:pPr>
        <w:jc w:val="center"/>
      </w:pPr>
      <w:r>
        <w:rPr>
          <w:rFonts w:ascii="Times New Roman" w:hAnsi="Times New Roman"/>
          <w:sz w:val="17"/>
        </w:rPr>
        <w:t>Corresponding Author: Nama Ketua Tim, email: ketuatim@institusi.ac.id</w:t>
      </w:r>
    </w:p>
    <w:p>
      <w:pPr>
        <w:pStyle w:val="IEEEParagraph"/>
        <w:jc w:val="both"/>
      </w:pPr>
      <w:r>
        <w:rPr>
          <w:rFonts w:ascii="Times New Roman" w:hAnsi="Times New Roman"/>
          <w:sz w:val="18"/>
        </w:rPr>
        <w:t>INTISARI - Ketahanan pangan tidak hanya ditentukan oleh kecukupan stok nasional, tetapi juga oleh ketimpangan harga, produksi, kebutuhan, dan akses antarwilayah. Penelitian ini mengusulkan PanganFlow.ID, sistem penambangan data untuk mendeteksi provinsi dengan tekanan pasokan beras dan menyusun prioritas aliran redistribusi antarprovinsi. Dataset yang dibangun mencakup 1,904 baris panel provinsi-bulan untuk 38 provinsi pada periode 2021-01-01 sampai 2025-06-01. Fitur yang digunakan meliputi harga beras medium, gap terhadap median nasional, perubahan harga, rolling anomaly score, produksi beras, estimasi kebutuhan, proxy surplus-defisit, dan jarak logistik antarprovinsi. Metode yang diuji meliputi baseline acak, baseline harga, baseline defisit, weighted priority index, model Random Forest, K-Means clustering, Isolation Forest, dan graph-based redistribution scoring. Hasil sistem berupa ranking provinsi prioritas, tipologi wilayah, serta rekomendasi pasangan provinsi surplus menuju provinsi defisit yang dapat dipakai sebagai bahan tinjauan kebijakan.</w:t>
      </w:r>
    </w:p>
    <w:p>
      <w:pPr>
        <w:jc w:val="both"/>
      </w:pPr>
      <w:r>
        <w:rPr>
          <w:b/>
          <w:sz w:val="18"/>
        </w:rPr>
        <w:t>KATA KUNCI - Data Mining, Beras, Ketahanan Pangan, Redistribusi, Anomaly Detection, Ranking.</w:t>
      </w:r>
    </w:p>
    <w:p>
      <w:pPr>
        <w:sectPr>
          <w:footerReference w:type="default" r:id="rId20"/>
          <w:type w:val="continuous"/>
          <w:pgSz w:w="11906" w:h="16838"/>
          <w:pgMar w:top="1304" w:right="737" w:bottom="1020" w:left="737" w:header="431" w:footer="431" w:gutter="0"/>
          <w:cols w:num="1" w:space="368"/>
          <w:docGrid w:linePitch="360"/>
        </w:sectPr>
      </w:pPr>
    </w:p>
    <w:p>
      <w:pPr>
        <w:jc w:val="left"/>
      </w:pPr>
      <w:r>
        <w:t>I. PENDAHULUAN</w:t>
      </w:r>
    </w:p>
    <w:p>
      <w:pPr>
        <w:ind w:firstLine="198"/>
        <w:jc w:val="both"/>
      </w:pPr>
      <w:r>
        <w:rPr>
          <w:rFonts w:ascii="Times New Roman" w:hAnsi="Times New Roman"/>
          <w:sz w:val="18"/>
        </w:rPr>
        <w:t>Indonesia sering dipahami memiliki kecukupan pangan pada level nasional, namun disparitas harga menunjukkan bahwa masalah pangan tidak berhenti pada total produksi. Harga beras dapat stabil di provinsi sentra produksi, sementara provinsi lain menghadapi harga lebih tinggi karena defisit produksi lokal, jarak distribusi, pola konsumsi, dan waktu panen. Kondisi kepulauan Indonesia membuat ketimpangan pasokan menjadi masalah spasial sekaligus temporal.</w:t>
      </w:r>
    </w:p>
    <w:p>
      <w:pPr>
        <w:ind w:firstLine="198"/>
        <w:jc w:val="both"/>
      </w:pPr>
      <w:r>
        <w:rPr>
          <w:rFonts w:ascii="Times New Roman" w:hAnsi="Times New Roman"/>
          <w:sz w:val="18"/>
        </w:rPr>
        <w:t>Tujuan penelitian ini adalah membangun sistem data mining yang menjawab tiga pertanyaan: provinsi mana yang menunjukkan tekanan pasokan beras, provinsi mana yang relatif surplus, dan pasangan asal-tujuan mana yang layak ditinjau lebih dulu untuk redistribusi. Manfaat praktisnya adalah membantu penyusunan prioritas analisis, bukan menggantikan keputusan logistik pemerintah.</w:t>
      </w:r>
    </w:p>
    <w:p>
      <w:pPr>
        <w:jc w:val="left"/>
      </w:pPr>
      <w:r>
        <w:t>II. KAJIAN TERKAIT</w:t>
      </w:r>
    </w:p>
    <w:p>
      <w:pPr>
        <w:ind w:firstLine="198"/>
        <w:jc w:val="both"/>
      </w:pPr>
      <w:r>
        <w:rPr>
          <w:rFonts w:ascii="Times New Roman" w:hAnsi="Times New Roman"/>
          <w:sz w:val="18"/>
        </w:rPr>
        <w:t>PIHPS BI dikembangkan untuk mengurangi kesenjangan informasi harga, menjadi sinyal awal gejolak harga, dan membantu memahami keterkaitan harga antarprovinsi. Dalam literatur data mining, masalah sejenis umumnya didekati melalui deteksi anomali time series, clustering wilayah, forecasting harga, dan scoring prioritas. Kebaruan PanganFlow.ID adalah menggabungkan sinyal harga dengan proxy neraca produksi-kebutuhan dan scoring graf asal-tujuan, sehingga outputnya bukan hanya prediksi harga tetapi rekomendasi prioritas aliran pangan.</w:t>
      </w:r>
    </w:p>
    <w:p>
      <w:pPr>
        <w:jc w:val="left"/>
      </w:pPr>
      <w:r>
        <w:t>III. DATASET DAN FORMULASI MASALAH</w:t>
      </w:r>
    </w:p>
    <w:p>
      <w:pPr>
        <w:ind w:firstLine="198"/>
        <w:jc w:val="both"/>
      </w:pPr>
      <w:r>
        <w:rPr>
          <w:rFonts w:ascii="Times New Roman" w:hAnsi="Times New Roman"/>
          <w:sz w:val="18"/>
        </w:rPr>
        <w:t>Dataset final berbentuk panel provinsi-bulan-komoditas sebanyak 1,904 baris, mencakup 38 provinsi dan periode 2021-01-01 sampai 2025-06-01. Komoditas v1 dibatasi pada Beras Medium agar perhitungan surplus-defisit konsisten dengan data produksi beras BPS dan konsumsi beras per kapita.</w:t>
      </w:r>
    </w:p>
    <w:p>
      <w:pPr>
        <w:spacing w:before="20" w:after="60"/>
        <w:jc w:val="center"/>
      </w:pPr>
      <w:r>
        <w:rPr>
          <w:rFonts w:ascii="Times New Roman" w:hAnsi="Times New Roman"/>
          <w:b/>
          <w:sz w:val="15"/>
        </w:rPr>
        <w:t>Tabel I. Status sumber data resmi dan snapshot.</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3"/>
              </w:rPr>
              <w:t>source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3"/>
              </w:rPr>
              <w:t>rows</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Province Reference</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35</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Commodity Reference</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31</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BI Daily Price Attempt</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downloaded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tcMar>
              <w:top w:w="60" w:type="dxa"/>
              <w:start w:w="60" w:type="dxa"/>
              <w:bottom w:w="60" w:type="dxa"/>
              <w:end w:w="60" w:type="dxa"/>
            </w:tcMar>
            <w:vAlign w:val="center"/>
          </w:tcPr>
          <w:p>
            <w:pPr>
              <w:jc w:val="center"/>
            </w:pPr>
            <w:r>
              <w:rPr>
                <w:rFonts w:ascii="Times New Roman" w:hAnsi="Times New Roman"/>
                <w:sz w:val="13"/>
              </w:rPr>
              <w:t>BI Manual Snapshot</w:t>
            </w:r>
          </w:p>
        </w:tc>
        <w:tc>
          <w:tcPr>
            <w:tcW w:type="dxa" w:w="1559"/>
            <w:tcMar>
              <w:top w:w="60" w:type="dxa"/>
              <w:start w:w="60" w:type="dxa"/>
              <w:bottom w:w="60" w:type="dxa"/>
              <w:end w:w="60" w:type="dxa"/>
            </w:tcMar>
            <w:vAlign w:val="center"/>
          </w:tcPr>
          <w:p>
            <w:pPr>
              <w:jc w:val="center"/>
            </w:pPr>
            <w:r>
              <w:rPr>
                <w:rFonts w:ascii="Times New Roman" w:hAnsi="Times New Roman"/>
                <w:sz w:val="13"/>
              </w:rPr>
              <w:t>not_provided</w:t>
            </w:r>
          </w:p>
        </w:tc>
        <w:tc>
          <w:tcPr>
            <w:tcW w:type="dxa" w:w="1559"/>
            <w:tcMar>
              <w:top w:w="60" w:type="dxa"/>
              <w:start w:w="60" w:type="dxa"/>
              <w:bottom w:w="60" w:type="dxa"/>
              <w:end w:w="60" w:type="dxa"/>
            </w:tcMar>
            <w:vAlign w:val="center"/>
          </w:tcPr>
          <w:p>
            <w:pPr>
              <w:jc w:val="center"/>
            </w:pPr>
            <w:r>
              <w:rPr>
                <w:rFonts w:ascii="Times New Roman" w:hAnsi="Times New Roman"/>
                <w:sz w:val="13"/>
              </w:rPr>
              <w:t>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3"/>
              </w:rPr>
              <w:t>Bapanas</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loaded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3"/>
              </w:rPr>
              <w:t>1904</w:t>
            </w:r>
          </w:p>
        </w:tc>
      </w:tr>
    </w:tbl>
    <w:p/>
    <w:p>
      <w:pPr>
        <w:ind w:firstLine="198"/>
        <w:jc w:val="both"/>
      </w:pPr>
      <w:r>
        <w:rPr>
          <w:rFonts w:ascii="Times New Roman" w:hAnsi="Times New Roman"/>
          <w:sz w:val="18"/>
        </w:rPr>
        <w:t>Kebutuhan beras diproksikan sebagai populasi dikalikan konsumsi beras per kapita tahunan. Surplus proxy dihitung sebagai produksi beras tahunan dikurangi kebutuhan tahunan. Karena stok awal, arus masuk, arus keluar, dan cadangan tidak selalu tersedia terbuka pada resolusi provinsi-bulan, nilai ini diperlakukan sebagai proxy struktural, bukan neraca resmi final.</w:t>
      </w:r>
    </w:p>
    <w:p>
      <w:pPr>
        <w:jc w:val="left"/>
      </w:pPr>
      <w:r>
        <w:t>IV. METODOLOGI</w:t>
      </w:r>
    </w:p>
    <w:p>
      <w:pPr>
        <w:ind w:firstLine="198"/>
        <w:jc w:val="both"/>
      </w:pPr>
      <w:r>
        <w:rPr>
          <w:rFonts w:ascii="Times New Roman" w:hAnsi="Times New Roman"/>
          <w:sz w:val="18"/>
        </w:rPr>
        <w:t>Pipeline terdiri atas enam tahap. Pertama, harga beras diproses menjadi fitur gap terhadap median nasional, perubahan bulanan, rolling mean, rolling standard deviation, dan z-score historis. Kedua, produksi dan kebutuhan digabung menjadi skor defisit dan skor surplus. Ketiga, Isolation Forest digunakan untuk sinyal anomali harga. Keempat, Random Forest mempelajari prioritas pemantauan bulan berikutnya dari fitur bulan berjalan. Kelima, K-Means dan PCA digunakan untuk memetakan tipologi provinsi. Keenam, setiap pasangan provinsi surplus-defisit diberi skor graf berbasis price gap, surplus asal, defisit tujuan, skor model tujuan, anomali tujuan, dan penalti jarak.</w:t>
      </w:r>
    </w:p>
    <w:p>
      <w:pPr>
        <w:spacing w:after="20"/>
      </w:pPr>
      <w:r>
        <w:rPr>
          <w:rFonts w:ascii="Times New Roman" w:hAnsi="Times New Roman"/>
          <w:sz w:val="17"/>
        </w:rPr>
        <w:t>- Baseline 1: ranking acak untuk mengukur batas bawah.</w:t>
      </w:r>
    </w:p>
    <w:p>
      <w:pPr>
        <w:spacing w:after="20"/>
      </w:pPr>
      <w:r>
        <w:rPr>
          <w:rFonts w:ascii="Times New Roman" w:hAnsi="Times New Roman"/>
          <w:sz w:val="17"/>
        </w:rPr>
        <w:t>- Baseline 2: price-gap ranking untuk melihat efek disparitas harga saja.</w:t>
      </w:r>
    </w:p>
    <w:p>
      <w:pPr>
        <w:spacing w:after="20"/>
      </w:pPr>
      <w:r>
        <w:rPr>
          <w:rFonts w:ascii="Times New Roman" w:hAnsi="Times New Roman"/>
          <w:sz w:val="17"/>
        </w:rPr>
        <w:t>- Baseline 3: deficit ranking untuk melihat efek neraca saja.</w:t>
      </w:r>
    </w:p>
    <w:p>
      <w:pPr>
        <w:spacing w:after="20"/>
      </w:pPr>
      <w:r>
        <w:rPr>
          <w:rFonts w:ascii="Times New Roman" w:hAnsi="Times New Roman"/>
          <w:sz w:val="17"/>
        </w:rPr>
        <w:t>- Baseline 4: weighted priority index transparan sebagai pembanding model.</w:t>
      </w:r>
    </w:p>
    <w:p>
      <w:pPr>
        <w:spacing w:after="20"/>
      </w:pPr>
      <w:r>
        <w:rPr>
          <w:rFonts w:ascii="Times New Roman" w:hAnsi="Times New Roman"/>
          <w:sz w:val="17"/>
        </w:rPr>
        <w:t>- Model utama: Random Forest ranker dengan split berbasis waktu.</w:t>
      </w:r>
    </w:p>
    <w:p>
      <w:pPr>
        <w:jc w:val="left"/>
      </w:pPr>
      <w:r>
        <w:t>V. EKSPERIMEN DAN HASIL</w:t>
      </w:r>
    </w:p>
    <w:p>
      <w:pPr>
        <w:spacing w:before="20" w:after="60"/>
        <w:jc w:val="center"/>
      </w:pPr>
      <w:r>
        <w:rPr>
          <w:rFonts w:ascii="Times New Roman" w:hAnsi="Times New Roman"/>
          <w:b/>
          <w:sz w:val="15"/>
        </w:rPr>
        <w:t>Tabel II. Hasil evaluasi ranking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model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3"/>
              </w:rPr>
              <w:t>Random ranking</w:t>
            </w:r>
          </w:p>
        </w:tc>
        <w:tc>
          <w:tcPr>
            <w:tcW w:type="dxa" w:w="1169"/>
            <w:tcMar>
              <w:top w:w="60" w:type="dxa"/>
              <w:start w:w="60" w:type="dxa"/>
              <w:bottom w:w="60" w:type="dxa"/>
              <w:end w:w="60" w:type="dxa"/>
            </w:tcMar>
            <w:vAlign w:val="center"/>
          </w:tcPr>
          <w:p>
            <w:pPr>
              <w:jc w:val="center"/>
            </w:pPr>
            <w:r>
              <w:rPr>
                <w:rFonts w:ascii="Times New Roman" w:hAnsi="Times New Roman"/>
                <w:sz w:val="13"/>
              </w:rPr>
              <w:t>0.294</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c>
          <w:tcPr>
            <w:tcW w:type="dxa" w:w="1169"/>
            <w:tcMar>
              <w:top w:w="60" w:type="dxa"/>
              <w:start w:w="60" w:type="dxa"/>
              <w:bottom w:w="60" w:type="dxa"/>
              <w:end w:w="60" w:type="dxa"/>
            </w:tcMar>
            <w:vAlign w:val="center"/>
          </w:tcPr>
          <w:p>
            <w:pPr>
              <w:jc w:val="center"/>
            </w:pPr>
            <w:r>
              <w:rPr>
                <w:rFonts w:ascii="Times New Roman" w:hAnsi="Times New Roman"/>
                <w:sz w:val="13"/>
              </w:rPr>
              <w:t>0.300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Price-gap baseline</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0.826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0.750</w:t>
            </w:r>
          </w:p>
        </w:tc>
      </w:tr>
      <w:tr>
        <w:tc>
          <w:tcPr>
            <w:tcW w:type="dxa" w:w="1169"/>
            <w:tcMar>
              <w:top w:w="60" w:type="dxa"/>
              <w:start w:w="60" w:type="dxa"/>
              <w:bottom w:w="60" w:type="dxa"/>
              <w:end w:w="60" w:type="dxa"/>
            </w:tcMar>
            <w:vAlign w:val="center"/>
          </w:tcPr>
          <w:p>
            <w:pPr>
              <w:jc w:val="center"/>
            </w:pPr>
            <w:r>
              <w:rPr>
                <w:rFonts w:ascii="Times New Roman" w:hAnsi="Times New Roman"/>
                <w:sz w:val="13"/>
              </w:rPr>
              <w:t>Deficit baseline</w:t>
            </w:r>
          </w:p>
        </w:tc>
        <w:tc>
          <w:tcPr>
            <w:tcW w:type="dxa" w:w="1169"/>
            <w:tcMar>
              <w:top w:w="60" w:type="dxa"/>
              <w:start w:w="60" w:type="dxa"/>
              <w:bottom w:w="60" w:type="dxa"/>
              <w:end w:w="60" w:type="dxa"/>
            </w:tcMar>
            <w:vAlign w:val="center"/>
          </w:tcPr>
          <w:p>
            <w:pPr>
              <w:jc w:val="center"/>
            </w:pPr>
            <w:r>
              <w:rPr>
                <w:rFonts w:ascii="Times New Roman" w:hAnsi="Times New Roman"/>
                <w:sz w:val="13"/>
              </w:rPr>
              <w:t>0.852</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c>
          <w:tcPr>
            <w:tcW w:type="dxa" w:w="1169"/>
            <w:tcMar>
              <w:top w:w="60" w:type="dxa"/>
              <w:start w:w="60" w:type="dxa"/>
              <w:bottom w:w="60" w:type="dxa"/>
              <w:end w:w="60" w:type="dxa"/>
            </w:tcMar>
            <w:vAlign w:val="center"/>
          </w:tcPr>
          <w:p>
            <w:pPr>
              <w:jc w:val="center"/>
            </w:pPr>
            <w:r>
              <w:rPr>
                <w:rFonts w:ascii="Times New Roman" w:hAnsi="Times New Roman"/>
                <w:sz w:val="13"/>
              </w:rPr>
              <w:t>0.800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Weighted index</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0.929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0.900</w:t>
            </w:r>
          </w:p>
        </w:tc>
      </w:tr>
      <w:tr>
        <w:tc>
          <w:tcPr>
            <w:tcW w:type="dxa" w:w="1169"/>
            <w:tcMar>
              <w:top w:w="60" w:type="dxa"/>
              <w:start w:w="60" w:type="dxa"/>
              <w:bottom w:w="60" w:type="dxa"/>
              <w:end w:w="60" w:type="dxa"/>
            </w:tcMar>
            <w:vAlign w:val="center"/>
          </w:tcPr>
          <w:p>
            <w:pPr>
              <w:jc w:val="center"/>
            </w:pPr>
            <w:r>
              <w:rPr>
                <w:rFonts w:ascii="Times New Roman" w:hAnsi="Times New Roman"/>
                <w:sz w:val="13"/>
              </w:rPr>
              <w:t>PanganFlow</w:t>
            </w:r>
          </w:p>
        </w:tc>
        <w:tc>
          <w:tcPr>
            <w:tcW w:type="dxa" w:w="1169"/>
            <w:tcMar>
              <w:top w:w="60" w:type="dxa"/>
              <w:start w:w="60" w:type="dxa"/>
              <w:bottom w:w="60" w:type="dxa"/>
              <w:end w:w="60" w:type="dxa"/>
            </w:tcMar>
            <w:vAlign w:val="center"/>
          </w:tcPr>
          <w:p>
            <w:pPr>
              <w:jc w:val="center"/>
            </w:pPr>
            <w:r>
              <w:rPr>
                <w:rFonts w:ascii="Times New Roman" w:hAnsi="Times New Roman"/>
                <w:sz w:val="13"/>
              </w:rPr>
              <w:t>0.937</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c>
          <w:tcPr>
            <w:tcW w:type="dxa" w:w="1169"/>
            <w:tcMar>
              <w:top w:w="60" w:type="dxa"/>
              <w:start w:w="60" w:type="dxa"/>
              <w:bottom w:w="60" w:type="dxa"/>
              <w:end w:w="60" w:type="dxa"/>
            </w:tcMar>
            <w:vAlign w:val="center"/>
          </w:tcPr>
          <w:p>
            <w:pPr>
              <w:jc w:val="center"/>
            </w:pPr>
            <w:r>
              <w:rPr>
                <w:rFonts w:ascii="Times New Roman" w:hAnsi="Times New Roman"/>
                <w:sz w:val="13"/>
              </w:rPr>
              <w:t>0.910</w:t>
            </w:r>
          </w:p>
        </w:tc>
      </w:tr>
    </w:tbl>
    <w:p/>
    <w:p>
      <w:pPr>
        <w:jc w:val="center"/>
      </w:pPr>
      <w:r>
        <w:drawing>
          <wp:inline xmlns:a="http://schemas.openxmlformats.org/drawingml/2006/main" xmlns:pic="http://schemas.openxmlformats.org/drawingml/2006/picture">
            <wp:extent cx="2926080" cy="1606666"/>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21"/>
                    <a:stretch>
                      <a:fillRect/>
                    </a:stretch>
                  </pic:blipFill>
                  <pic:spPr>
                    <a:xfrm>
                      <a:off x="0" y="0"/>
                      <a:ext cx="2926080" cy="1606666"/>
                    </a:xfrm>
                    <a:prstGeom prst="rect"/>
                  </pic:spPr>
                </pic:pic>
              </a:graphicData>
            </a:graphic>
          </wp:inline>
        </w:drawing>
      </w:r>
    </w:p>
    <w:p>
      <w:pPr>
        <w:spacing w:before="20" w:after="60"/>
        <w:jc w:val="center"/>
      </w:pPr>
      <w:r>
        <w:rPr>
          <w:rFonts w:ascii="Times New Roman" w:hAnsi="Times New Roman"/>
          <w:b/>
          <w:sz w:val="15"/>
        </w:rPr>
        <w:t>Gambar 1. Perbandingan NDCG@10 antar model.</w:t>
      </w:r>
    </w:p>
    <w:p>
      <w:pPr>
        <w:ind w:firstLine="198"/>
        <w:jc w:val="both"/>
      </w:pPr>
      <w:r>
        <w:rPr>
          <w:rFonts w:ascii="Times New Roman" w:hAnsi="Times New Roman"/>
          <w:sz w:val="18"/>
        </w:rPr>
        <w:t>Model hybrid PanganFlow mencapai NDCG@10 sebesar 0.937, sedangkan weighted index mencapai 0.929. Interpretasinya, baseline transparan sudah sangat kuat karena selaras dengan definisi proxy, sedangkan Random Forest dipakai sebagai kalibrasi non-linear agar skor akhir tetap interpretabel.</w:t>
      </w:r>
    </w:p>
    <w:p>
      <w:pPr>
        <w:spacing w:before="20" w:after="60"/>
        <w:jc w:val="center"/>
      </w:pPr>
      <w:r>
        <w:rPr>
          <w:rFonts w:ascii="Times New Roman" w:hAnsi="Times New Roman"/>
          <w:b/>
          <w:sz w:val="15"/>
        </w:rPr>
        <w:t>Tabel III. Ablation study keluarga fitur.</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4"/>
              </w:rPr>
              <w:t>setting</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ndcg_at_k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precision_at_k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4"/>
              </w:rPr>
              <w:t>recall_at_k</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without_spatial</w:t>
            </w:r>
          </w:p>
        </w:tc>
        <w:tc>
          <w:tcPr>
            <w:tcW w:type="dxa" w:w="1169"/>
            <w:tcMar>
              <w:top w:w="60" w:type="dxa"/>
              <w:start w:w="60" w:type="dxa"/>
              <w:bottom w:w="60" w:type="dxa"/>
              <w:end w:w="60" w:type="dxa"/>
            </w:tcMar>
            <w:vAlign w:val="center"/>
          </w:tcPr>
          <w:p>
            <w:pPr>
              <w:jc w:val="center"/>
            </w:pPr>
            <w:r>
              <w:rPr>
                <w:rFonts w:ascii="Times New Roman" w:hAnsi="Times New Roman"/>
                <w:sz w:val="14"/>
              </w:rPr>
              <w:t>0.912</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c>
          <w:tcPr>
            <w:tcW w:type="dxa" w:w="1169"/>
            <w:tcMar>
              <w:top w:w="60" w:type="dxa"/>
              <w:start w:w="60" w:type="dxa"/>
              <w:bottom w:w="60" w:type="dxa"/>
              <w:end w:w="60" w:type="dxa"/>
            </w:tcMar>
            <w:vAlign w:val="center"/>
          </w:tcPr>
          <w:p>
            <w:pPr>
              <w:jc w:val="center"/>
            </w:pPr>
            <w:r>
              <w:rPr>
                <w:rFonts w:ascii="Times New Roman" w:hAnsi="Times New Roman"/>
                <w:sz w:val="14"/>
              </w:rPr>
              <w:t>0.870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all_features</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0.905</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tcMar>
              <w:top w:w="60" w:type="dxa"/>
              <w:start w:w="60" w:type="dxa"/>
              <w:bottom w:w="60" w:type="dxa"/>
              <w:end w:w="60" w:type="dxa"/>
            </w:tcMar>
            <w:vAlign w:val="center"/>
          </w:tcPr>
          <w:p>
            <w:pPr>
              <w:jc w:val="center"/>
            </w:pPr>
            <w:r>
              <w:rPr>
                <w:rFonts w:ascii="Times New Roman" w:hAnsi="Times New Roman"/>
                <w:sz w:val="14"/>
              </w:rPr>
              <w:t>without_price</w:t>
            </w:r>
          </w:p>
        </w:tc>
        <w:tc>
          <w:tcPr>
            <w:tcW w:type="dxa" w:w="1169"/>
            <w:tcMar>
              <w:top w:w="60" w:type="dxa"/>
              <w:start w:w="60" w:type="dxa"/>
              <w:bottom w:w="60" w:type="dxa"/>
              <w:end w:w="60" w:type="dxa"/>
            </w:tcMar>
            <w:vAlign w:val="center"/>
          </w:tcPr>
          <w:p>
            <w:pPr>
              <w:jc w:val="center"/>
            </w:pPr>
            <w:r>
              <w:rPr>
                <w:rFonts w:ascii="Times New Roman" w:hAnsi="Times New Roman"/>
                <w:sz w:val="14"/>
              </w:rPr>
              <w:t>0.897</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c>
          <w:tcPr>
            <w:tcW w:type="dxa" w:w="1169"/>
            <w:tcMar>
              <w:top w:w="60" w:type="dxa"/>
              <w:start w:w="60" w:type="dxa"/>
              <w:bottom w:w="60" w:type="dxa"/>
              <w:end w:w="60" w:type="dxa"/>
            </w:tcMar>
            <w:vAlign w:val="center"/>
          </w:tcPr>
          <w:p>
            <w:pPr>
              <w:jc w:val="center"/>
            </w:pPr>
            <w:r>
              <w:rPr>
                <w:rFonts w:ascii="Times New Roman" w:hAnsi="Times New Roman"/>
                <w:sz w:val="14"/>
              </w:rPr>
              <w:t>0.860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4"/>
              </w:rPr>
              <w:t>without_balance</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0.880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c>
          <w:tcPr>
            <w:tcW w:type="dxa" w:w="1169"/>
            <w:shd w:fill="F8FAFB"/>
            <w:tcMar>
              <w:top w:w="60" w:type="dxa"/>
              <w:start w:w="60" w:type="dxa"/>
              <w:bottom w:w="60" w:type="dxa"/>
              <w:end w:w="60" w:type="dxa"/>
            </w:tcMar>
            <w:vAlign w:val="center"/>
          </w:tcPr>
          <w:p>
            <w:pPr>
              <w:jc w:val="center"/>
            </w:pPr>
            <w:r>
              <w:rPr>
                <w:rFonts w:ascii="Times New Roman" w:hAnsi="Times New Roman"/>
                <w:sz w:val="14"/>
              </w:rPr>
              <w:t>0.830</w:t>
            </w:r>
          </w:p>
        </w:tc>
      </w:tr>
    </w:tbl>
    <w:p/>
    <w:p>
      <w:pPr>
        <w:jc w:val="center"/>
      </w:pPr>
      <w:r>
        <w:drawing>
          <wp:inline xmlns:a="http://schemas.openxmlformats.org/drawingml/2006/main" xmlns:pic="http://schemas.openxmlformats.org/drawingml/2006/picture">
            <wp:extent cx="2926080" cy="1719072"/>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22"/>
                    <a:stretch>
                      <a:fillRect/>
                    </a:stretch>
                  </pic:blipFill>
                  <pic:spPr>
                    <a:xfrm>
                      <a:off x="0" y="0"/>
                      <a:ext cx="2926080" cy="1719072"/>
                    </a:xfrm>
                    <a:prstGeom prst="rect"/>
                  </pic:spPr>
                </pic:pic>
              </a:graphicData>
            </a:graphic>
          </wp:inline>
        </w:drawing>
      </w:r>
    </w:p>
    <w:p>
      <w:pPr>
        <w:spacing w:before="20" w:after="60"/>
        <w:jc w:val="center"/>
      </w:pPr>
      <w:r>
        <w:rPr>
          <w:rFonts w:ascii="Times New Roman" w:hAnsi="Times New Roman"/>
          <w:b/>
          <w:sz w:val="15"/>
        </w:rPr>
        <w:t>Gambar 2. Feature importance model prioritas.</w:t>
      </w:r>
    </w:p>
    <w:p>
      <w:pPr>
        <w:jc w:val="left"/>
      </w:pPr>
      <w:r>
        <w:t>VI. ANALISIS SPASIAL DAN REKOMENDASI FLOW</w:t>
      </w:r>
    </w:p>
    <w:p>
      <w:pPr>
        <w:ind w:firstLine="198"/>
        <w:jc w:val="both"/>
      </w:pPr>
      <w:r>
        <w:rPr>
          <w:rFonts w:ascii="Times New Roman" w:hAnsi="Times New Roman"/>
          <w:sz w:val="18"/>
        </w:rPr>
        <w:t>Ranking provinsi digunakan sebagai sisi tujuan, sedangkan skor surplus digunakan sebagai sisi asal. Sistem tidak mengklaim rute operasional final; keluaran dipakai sebagai antrian review untuk melihat apakah terdapat selisih harga dan defisit tujuan yang cukup kuat dibanding penalti jarak.</w:t>
      </w:r>
    </w:p>
    <w:p>
      <w:pPr>
        <w:spacing w:before="20" w:after="60"/>
        <w:jc w:val="center"/>
      </w:pPr>
      <w:r>
        <w:rPr>
          <w:rFonts w:ascii="Times New Roman" w:hAnsi="Times New Roman"/>
          <w:b/>
          <w:sz w:val="15"/>
        </w:rPr>
        <w:t>Tabel IV. Top rekomendasi aliran beras.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rank</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origin_province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destination_province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Sulawesi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100.000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Timur</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95.540</w:t>
            </w:r>
          </w:p>
        </w:tc>
      </w:tr>
      <w:tr>
        <w:tc>
          <w:tcPr>
            <w:tcW w:type="dxa" w:w="1169"/>
            <w:tcMar>
              <w:top w:w="60" w:type="dxa"/>
              <w:start w:w="60" w:type="dxa"/>
              <w:bottom w:w="60" w:type="dxa"/>
              <w:end w:w="60" w:type="dxa"/>
            </w:tcMar>
            <w:vAlign w:val="center"/>
          </w:tcPr>
          <w:p>
            <w:pPr>
              <w:jc w:val="center"/>
            </w:pPr>
            <w:r>
              <w:rPr>
                <w:rFonts w:ascii="Times New Roman" w:hAnsi="Times New Roman"/>
                <w:sz w:val="13"/>
              </w:rPr>
              <w:t>3</w:t>
            </w:r>
          </w:p>
        </w:tc>
        <w:tc>
          <w:tcPr>
            <w:tcW w:type="dxa" w:w="1169"/>
            <w:tcMar>
              <w:top w:w="60" w:type="dxa"/>
              <w:start w:w="60" w:type="dxa"/>
              <w:bottom w:w="60" w:type="dxa"/>
              <w:end w:w="60" w:type="dxa"/>
            </w:tcMar>
            <w:vAlign w:val="center"/>
          </w:tcPr>
          <w:p>
            <w:pPr>
              <w:jc w:val="center"/>
            </w:pPr>
            <w:r>
              <w:rPr>
                <w:rFonts w:ascii="Times New Roman" w:hAnsi="Times New Roman"/>
                <w:sz w:val="13"/>
              </w:rPr>
              <w:t>Jawa Tengah</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91.030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Jawa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83.490</w:t>
            </w:r>
          </w:p>
        </w:tc>
      </w:tr>
      <w:tr>
        <w:tc>
          <w:tcPr>
            <w:tcW w:type="dxa" w:w="1169"/>
            <w:tcMar>
              <w:top w:w="60" w:type="dxa"/>
              <w:start w:w="60" w:type="dxa"/>
              <w:bottom w:w="60" w:type="dxa"/>
              <w:end w:w="60" w:type="dxa"/>
            </w:tcMar>
            <w:vAlign w:val="center"/>
          </w:tcPr>
          <w:p>
            <w:pPr>
              <w:jc w:val="center"/>
            </w:pPr>
            <w:r>
              <w:rPr>
                <w:rFonts w:ascii="Times New Roman" w:hAnsi="Times New Roman"/>
                <w:sz w:val="13"/>
              </w:rPr>
              <w:t>5</w:t>
            </w:r>
          </w:p>
        </w:tc>
        <w:tc>
          <w:tcPr>
            <w:tcW w:type="dxa" w:w="1169"/>
            <w:tcMar>
              <w:top w:w="60" w:type="dxa"/>
              <w:start w:w="60" w:type="dxa"/>
              <w:bottom w:w="60" w:type="dxa"/>
              <w:end w:w="60" w:type="dxa"/>
            </w:tcMar>
            <w:vAlign w:val="center"/>
          </w:tcPr>
          <w:p>
            <w:pPr>
              <w:jc w:val="center"/>
            </w:pPr>
            <w:r>
              <w:rPr>
                <w:rFonts w:ascii="Times New Roman" w:hAnsi="Times New Roman"/>
                <w:sz w:val="13"/>
              </w:rPr>
              <w:t>Sumatera Selatan</w:t>
            </w:r>
          </w:p>
        </w:tc>
        <w:tc>
          <w:tcPr>
            <w:tcW w:type="dxa" w:w="1169"/>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tcMar>
              <w:top w:w="60" w:type="dxa"/>
              <w:start w:w="60" w:type="dxa"/>
              <w:bottom w:w="60" w:type="dxa"/>
              <w:end w:w="60" w:type="dxa"/>
            </w:tcMar>
            <w:vAlign w:val="center"/>
          </w:tcPr>
          <w:p>
            <w:pPr>
              <w:jc w:val="center"/>
            </w:pPr>
            <w:r>
              <w:rPr>
                <w:rFonts w:ascii="Times New Roman" w:hAnsi="Times New Roman"/>
                <w:sz w:val="13"/>
              </w:rPr>
              <w:t>78.930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6</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Nusa Tenggara Barat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Papua Pegunungan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76.720</w:t>
            </w:r>
          </w:p>
        </w:tc>
      </w:tr>
    </w:tbl>
    <w:p/>
    <w:p>
      <w:pPr>
        <w:ind w:firstLine="198"/>
        <w:jc w:val="both"/>
      </w:pPr>
      <w:r>
        <w:rPr>
          <w:rFonts w:ascii="Times New Roman" w:hAnsi="Times New Roman"/>
          <w:sz w:val="18"/>
        </w:rPr>
        <w:t>Flow peringkat 1: Sulawesi Selatan menuju Papua Pegunungan memperoleh skor 100.0. Alasan utama: selisih harga Rp12,581/kg; asal surplus proxy 2.31 juta ton; tujuan defisit proxy 0.12 juta ton; perlu kajian logistik lintas wilayah.</w:t>
      </w:r>
    </w:p>
    <w:p>
      <w:pPr>
        <w:ind w:firstLine="198"/>
        <w:jc w:val="both"/>
      </w:pPr>
      <w:r>
        <w:rPr>
          <w:rFonts w:ascii="Times New Roman" w:hAnsi="Times New Roman"/>
          <w:sz w:val="18"/>
        </w:rPr>
        <w:t>Flow peringkat 2: Jawa Timur menuju Papua Pegunungan memperoleh skor 95.5. Alasan utama: selisih harga Rp12,758/kg; asal surplus proxy 2.14 juta ton; tujuan defisit proxy 0.12 juta ton; perlu kajian logistik lintas wilayah.</w:t>
      </w:r>
    </w:p>
    <w:p>
      <w:pPr>
        <w:ind w:firstLine="198"/>
        <w:jc w:val="both"/>
      </w:pPr>
      <w:r>
        <w:rPr>
          <w:rFonts w:ascii="Times New Roman" w:hAnsi="Times New Roman"/>
          <w:sz w:val="18"/>
        </w:rPr>
        <w:t>Flow peringkat 3: Jawa Tengah menuju Papua Pegunungan memperoleh skor 91.0. Alasan utama: selisih harga Rp12,346/kg; asal surplus proxy 1.97 juta ton; tujuan defisit proxy 0.12 juta ton; perlu kajian logistik lintas wilayah.</w:t>
      </w:r>
    </w:p>
    <w:p>
      <w:pPr>
        <w:jc w:val="center"/>
      </w:pPr>
      <w:r>
        <w:drawing>
          <wp:inline xmlns:a="http://schemas.openxmlformats.org/drawingml/2006/main" xmlns:pic="http://schemas.openxmlformats.org/drawingml/2006/picture">
            <wp:extent cx="2971800" cy="1857375"/>
            <wp:docPr id="3" name="Picture 3"/>
            <wp:cNvGraphicFramePr>
              <a:graphicFrameLocks noChangeAspect="1"/>
            </wp:cNvGraphicFramePr>
            <a:graphic>
              <a:graphicData uri="http://schemas.openxmlformats.org/drawingml/2006/picture">
                <pic:pic>
                  <pic:nvPicPr>
                    <pic:cNvPr id="0" name="pressure_centroid_map.png"/>
                    <pic:cNvPicPr/>
                  </pic:nvPicPr>
                  <pic:blipFill>
                    <a:blip r:embed="rId23"/>
                    <a:stretch>
                      <a:fillRect/>
                    </a:stretch>
                  </pic:blipFill>
                  <pic:spPr>
                    <a:xfrm>
                      <a:off x="0" y="0"/>
                      <a:ext cx="2971800" cy="1857375"/>
                    </a:xfrm>
                    <a:prstGeom prst="rect"/>
                  </pic:spPr>
                </pic:pic>
              </a:graphicData>
            </a:graphic>
          </wp:inline>
        </w:drawing>
      </w:r>
    </w:p>
    <w:p>
      <w:pPr>
        <w:spacing w:before="20" w:after="60"/>
        <w:jc w:val="center"/>
      </w:pPr>
      <w:r>
        <w:rPr>
          <w:rFonts w:ascii="Times New Roman" w:hAnsi="Times New Roman"/>
          <w:b/>
          <w:sz w:val="15"/>
        </w:rPr>
        <w:t>Gambar 3. Peta centroid tekanan beras nasional.</w:t>
      </w:r>
    </w:p>
    <w:p>
      <w:pPr>
        <w:jc w:val="center"/>
      </w:pPr>
      <w:r>
        <w:drawing>
          <wp:inline xmlns:a="http://schemas.openxmlformats.org/drawingml/2006/main" xmlns:pic="http://schemas.openxmlformats.org/drawingml/2006/picture">
            <wp:extent cx="2971800" cy="1717040"/>
            <wp:docPr id="4" name="Picture 4"/>
            <wp:cNvGraphicFramePr>
              <a:graphicFrameLocks noChangeAspect="1"/>
            </wp:cNvGraphicFramePr>
            <a:graphic>
              <a:graphicData uri="http://schemas.openxmlformats.org/drawingml/2006/picture">
                <pic:pic>
                  <pic:nvPicPr>
                    <pic:cNvPr id="0" name="flow_network.png"/>
                    <pic:cNvPicPr/>
                  </pic:nvPicPr>
                  <pic:blipFill>
                    <a:blip r:embed="rId24"/>
                    <a:stretch>
                      <a:fillRect/>
                    </a:stretch>
                  </pic:blipFill>
                  <pic:spPr>
                    <a:xfrm>
                      <a:off x="0" y="0"/>
                      <a:ext cx="2971800" cy="1717040"/>
                    </a:xfrm>
                    <a:prstGeom prst="rect"/>
                  </pic:spPr>
                </pic:pic>
              </a:graphicData>
            </a:graphic>
          </wp:inline>
        </w:drawing>
      </w:r>
    </w:p>
    <w:p>
      <w:pPr>
        <w:spacing w:before="20" w:after="60"/>
        <w:jc w:val="center"/>
      </w:pPr>
      <w:r>
        <w:rPr>
          <w:rFonts w:ascii="Times New Roman" w:hAnsi="Times New Roman"/>
          <w:b/>
          <w:sz w:val="15"/>
        </w:rPr>
        <w:t>Gambar 4. Visualisasi graph recommendation antarprovinsi.</w:t>
      </w:r>
    </w:p>
    <w:p>
      <w:pPr>
        <w:jc w:val="left"/>
      </w:pPr>
      <w:r>
        <w:t>VII. CLUSTERING, FAIRNESS, DAN STUDI KASUS</w:t>
      </w:r>
    </w:p>
    <w:p>
      <w:pPr>
        <w:spacing w:before="20" w:after="60"/>
        <w:jc w:val="center"/>
      </w:pPr>
      <w:r>
        <w:rPr>
          <w:rFonts w:ascii="Times New Roman" w:hAnsi="Times New Roman"/>
          <w:b/>
          <w:sz w:val="15"/>
        </w:rPr>
        <w:t>Tabel V. Ringkasan cluster provinsi.</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cluster_label</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province_count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avg_deficit_score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avg_surplus_score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0.332</w:t>
            </w:r>
          </w:p>
        </w:tc>
        <w:tc>
          <w:tcPr>
            <w:tcW w:type="dxa" w:w="1169"/>
            <w:tcMar>
              <w:top w:w="60" w:type="dxa"/>
              <w:start w:w="60" w:type="dxa"/>
              <w:bottom w:w="60" w:type="dxa"/>
              <w:end w:w="60" w:type="dxa"/>
            </w:tcMar>
            <w:vAlign w:val="center"/>
          </w:tcPr>
          <w:p>
            <w:pPr>
              <w:jc w:val="center"/>
            </w:pPr>
            <w:r>
              <w:rPr>
                <w:rFonts w:ascii="Times New Roman" w:hAnsi="Times New Roman"/>
                <w:sz w:val="13"/>
              </w:rPr>
              <w:t>0.090</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12</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0.149</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0.232</w:t>
            </w:r>
          </w:p>
        </w:tc>
      </w:tr>
      <w:tr>
        <w:tc>
          <w:tcPr>
            <w:tcW w:type="dxa" w:w="1169"/>
            <w:tcMar>
              <w:top w:w="60" w:type="dxa"/>
              <w:start w:w="60" w:type="dxa"/>
              <w:bottom w:w="60" w:type="dxa"/>
              <w:end w:w="60" w:type="dxa"/>
            </w:tcMar>
            <w:vAlign w:val="center"/>
          </w:tcPr>
          <w:p>
            <w:pPr>
              <w:jc w:val="center"/>
            </w:pPr>
            <w:r>
              <w:rPr>
                <w:rFonts w:ascii="Times New Roman" w:hAnsi="Times New Roman"/>
                <w:sz w:val="13"/>
              </w:rPr>
              <w:t>Transisi/moderat</w:t>
            </w:r>
          </w:p>
        </w:tc>
        <w:tc>
          <w:tcPr>
            <w:tcW w:type="dxa" w:w="1169"/>
            <w:tcMar>
              <w:top w:w="60" w:type="dxa"/>
              <w:start w:w="60" w:type="dxa"/>
              <w:bottom w:w="60" w:type="dxa"/>
              <w:end w:w="60" w:type="dxa"/>
            </w:tcMar>
            <w:vAlign w:val="center"/>
          </w:tcPr>
          <w:p>
            <w:pPr>
              <w:jc w:val="center"/>
            </w:pPr>
            <w:r>
              <w:rPr>
                <w:rFonts w:ascii="Times New Roman" w:hAnsi="Times New Roman"/>
                <w:sz w:val="13"/>
              </w:rPr>
              <w:t>21</w:t>
            </w:r>
          </w:p>
        </w:tc>
        <w:tc>
          <w:tcPr>
            <w:tcW w:type="dxa" w:w="1169"/>
            <w:tcMar>
              <w:top w:w="60" w:type="dxa"/>
              <w:start w:w="60" w:type="dxa"/>
              <w:bottom w:w="60" w:type="dxa"/>
              <w:end w:w="60" w:type="dxa"/>
            </w:tcMar>
            <w:vAlign w:val="center"/>
          </w:tcPr>
          <w:p>
            <w:pPr>
              <w:jc w:val="center"/>
            </w:pPr>
            <w:r>
              <w:rPr>
                <w:rFonts w:ascii="Times New Roman" w:hAnsi="Times New Roman"/>
                <w:sz w:val="13"/>
              </w:rPr>
              <w:t>0.025</w:t>
            </w:r>
          </w:p>
        </w:tc>
        <w:tc>
          <w:tcPr>
            <w:tcW w:type="dxa" w:w="1169"/>
            <w:tcMar>
              <w:top w:w="60" w:type="dxa"/>
              <w:start w:w="60" w:type="dxa"/>
              <w:bottom w:w="60" w:type="dxa"/>
              <w:end w:w="60" w:type="dxa"/>
            </w:tcMar>
            <w:vAlign w:val="center"/>
          </w:tcPr>
          <w:p>
            <w:pPr>
              <w:jc w:val="center"/>
            </w:pPr>
            <w:r>
              <w:rPr>
                <w:rFonts w:ascii="Times New Roman" w:hAnsi="Times New Roman"/>
                <w:sz w:val="13"/>
              </w:rPr>
              <w:t>0.314</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Surplus relatif stabil</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4</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0.003</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0.879</w:t>
            </w:r>
          </w:p>
        </w:tc>
      </w:tr>
    </w:tbl>
    <w:p/>
    <w:p>
      <w:pPr>
        <w:jc w:val="center"/>
      </w:pPr>
      <w:r>
        <w:drawing>
          <wp:inline xmlns:a="http://schemas.openxmlformats.org/drawingml/2006/main" xmlns:pic="http://schemas.openxmlformats.org/drawingml/2006/picture">
            <wp:extent cx="2971800" cy="1876926"/>
            <wp:docPr id="5" name="Picture 5"/>
            <wp:cNvGraphicFramePr>
              <a:graphicFrameLocks noChangeAspect="1"/>
            </wp:cNvGraphicFramePr>
            <a:graphic>
              <a:graphicData uri="http://schemas.openxmlformats.org/drawingml/2006/picture">
                <pic:pic>
                  <pic:nvPicPr>
                    <pic:cNvPr id="0" name="cluster_pca.png"/>
                    <pic:cNvPicPr/>
                  </pic:nvPicPr>
                  <pic:blipFill>
                    <a:blip r:embed="rId25"/>
                    <a:stretch>
                      <a:fillRect/>
                    </a:stretch>
                  </pic:blipFill>
                  <pic:spPr>
                    <a:xfrm>
                      <a:off x="0" y="0"/>
                      <a:ext cx="2971800" cy="1876926"/>
                    </a:xfrm>
                    <a:prstGeom prst="rect"/>
                  </pic:spPr>
                </pic:pic>
              </a:graphicData>
            </a:graphic>
          </wp:inline>
        </w:drawing>
      </w:r>
    </w:p>
    <w:p>
      <w:pPr>
        <w:spacing w:before="20" w:after="60"/>
        <w:jc w:val="center"/>
      </w:pPr>
      <w:r>
        <w:rPr>
          <w:rFonts w:ascii="Times New Roman" w:hAnsi="Times New Roman"/>
          <w:b/>
          <w:sz w:val="15"/>
        </w:rPr>
        <w:t>Gambar 5. PCA cluster provinsi.</w:t>
      </w:r>
    </w:p>
    <w:p>
      <w:pPr>
        <w:spacing w:before="20" w:after="60"/>
        <w:jc w:val="center"/>
      </w:pPr>
      <w:r>
        <w:rPr>
          <w:rFonts w:ascii="Times New Roman" w:hAnsi="Times New Roman"/>
          <w:b/>
          <w:sz w:val="15"/>
        </w:rPr>
        <w:t>Tabel VI. Pemeriksaan subgroup berdasarkan region.</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608"/>
        <w:gridCol w:w="2608"/>
        <w:gridCol w:w="2608"/>
        <w:gridCol w:w="2608"/>
      </w:tblGrid>
      <w:tr>
        <w:tc>
          <w:tcPr>
            <w:tcW w:type="dxa" w:w="1169"/>
            <w:shd w:fill="E7EEF2"/>
            <w:tcMar>
              <w:top w:w="60" w:type="dxa"/>
              <w:start w:w="60" w:type="dxa"/>
              <w:bottom w:w="60" w:type="dxa"/>
              <w:end w:w="60" w:type="dxa"/>
            </w:tcMar>
            <w:vAlign w:val="center"/>
          </w:tcPr>
          <w:p>
            <w:pPr>
              <w:jc w:val="center"/>
            </w:pPr>
            <w:r>
              <w:rPr>
                <w:rFonts w:ascii="Times New Roman" w:hAnsi="Times New Roman"/>
                <w:b/>
                <w:sz w:val="13"/>
              </w:rPr>
              <w:t>region</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top10_count</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top10_share</w:t>
            </w:r>
          </w:p>
        </w:tc>
        <w:tc>
          <w:tcPr>
            <w:tcW w:type="dxa" w:w="1169"/>
            <w:shd w:fill="E7EEF2"/>
            <w:tcMar>
              <w:top w:w="60" w:type="dxa"/>
              <w:start w:w="60" w:type="dxa"/>
              <w:bottom w:w="60" w:type="dxa"/>
              <w:end w:w="60" w:type="dxa"/>
            </w:tcMar>
            <w:vAlign w:val="center"/>
          </w:tcPr>
          <w:p>
            <w:pPr>
              <w:jc w:val="center"/>
            </w:pPr>
            <w:r>
              <w:rPr>
                <w:rFonts w:ascii="Times New Roman" w:hAnsi="Times New Roman"/>
                <w:b/>
                <w:sz w:val="13"/>
              </w:rPr>
              <w:t>avg_priority_score</w:t>
            </w:r>
          </w:p>
        </w:tc>
      </w:tr>
      <w:tr>
        <w:tc>
          <w:tcPr>
            <w:tcW w:type="dxa" w:w="1169"/>
            <w:tcMar>
              <w:top w:w="60" w:type="dxa"/>
              <w:start w:w="60" w:type="dxa"/>
              <w:bottom w:w="60" w:type="dxa"/>
              <w:end w:w="60" w:type="dxa"/>
            </w:tcMar>
            <w:vAlign w:val="center"/>
          </w:tcPr>
          <w:p>
            <w:pPr>
              <w:jc w:val="center"/>
            </w:pPr>
            <w:r>
              <w:rPr>
                <w:rFonts w:ascii="Times New Roman" w:hAnsi="Times New Roman"/>
                <w:sz w:val="13"/>
              </w:rPr>
              <w:t>Maluku-Papua</w:t>
            </w:r>
          </w:p>
        </w:tc>
        <w:tc>
          <w:tcPr>
            <w:tcW w:type="dxa" w:w="1169"/>
            <w:tcMar>
              <w:top w:w="60" w:type="dxa"/>
              <w:start w:w="60" w:type="dxa"/>
              <w:bottom w:w="60" w:type="dxa"/>
              <w:end w:w="60" w:type="dxa"/>
            </w:tcMar>
            <w:vAlign w:val="center"/>
          </w:tcPr>
          <w:p>
            <w:pPr>
              <w:jc w:val="center"/>
            </w:pPr>
            <w:r>
              <w:rPr>
                <w:rFonts w:ascii="Times New Roman" w:hAnsi="Times New Roman"/>
                <w:sz w:val="13"/>
              </w:rPr>
              <w:t>7</w:t>
            </w:r>
          </w:p>
        </w:tc>
        <w:tc>
          <w:tcPr>
            <w:tcW w:type="dxa" w:w="1169"/>
            <w:tcMar>
              <w:top w:w="60" w:type="dxa"/>
              <w:start w:w="60" w:type="dxa"/>
              <w:bottom w:w="60" w:type="dxa"/>
              <w:end w:w="60" w:type="dxa"/>
            </w:tcMar>
            <w:vAlign w:val="center"/>
          </w:tcPr>
          <w:p>
            <w:pPr>
              <w:jc w:val="center"/>
            </w:pPr>
            <w:r>
              <w:rPr>
                <w:rFonts w:ascii="Times New Roman" w:hAnsi="Times New Roman"/>
                <w:sz w:val="13"/>
              </w:rPr>
              <w:t>0.875</w:t>
            </w:r>
          </w:p>
        </w:tc>
        <w:tc>
          <w:tcPr>
            <w:tcW w:type="dxa" w:w="1169"/>
            <w:tcMar>
              <w:top w:w="60" w:type="dxa"/>
              <w:start w:w="60" w:type="dxa"/>
              <w:bottom w:w="60" w:type="dxa"/>
              <w:end w:w="60" w:type="dxa"/>
            </w:tcMar>
            <w:vAlign w:val="center"/>
          </w:tcPr>
          <w:p>
            <w:pPr>
              <w:jc w:val="center"/>
            </w:pPr>
            <w:r>
              <w:rPr>
                <w:rFonts w:ascii="Times New Roman" w:hAnsi="Times New Roman"/>
                <w:sz w:val="13"/>
              </w:rPr>
              <w:t>0.196</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Kalimantan</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0.200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0.095</w:t>
            </w:r>
          </w:p>
        </w:tc>
      </w:tr>
      <w:tr>
        <w:tc>
          <w:tcPr>
            <w:tcW w:type="dxa" w:w="1169"/>
            <w:tcMar>
              <w:top w:w="60" w:type="dxa"/>
              <w:start w:w="60" w:type="dxa"/>
              <w:bottom w:w="60" w:type="dxa"/>
              <w:end w:w="60" w:type="dxa"/>
            </w:tcMar>
            <w:vAlign w:val="center"/>
          </w:tcPr>
          <w:p>
            <w:pPr>
              <w:jc w:val="center"/>
            </w:pPr>
            <w:r>
              <w:rPr>
                <w:rFonts w:ascii="Times New Roman" w:hAnsi="Times New Roman"/>
                <w:sz w:val="13"/>
              </w:rPr>
              <w:t>Jawa</w:t>
            </w:r>
          </w:p>
        </w:tc>
        <w:tc>
          <w:tcPr>
            <w:tcW w:type="dxa" w:w="1169"/>
            <w:tcMar>
              <w:top w:w="60" w:type="dxa"/>
              <w:start w:w="60" w:type="dxa"/>
              <w:bottom w:w="60" w:type="dxa"/>
              <w:end w:w="60" w:type="dxa"/>
            </w:tcMar>
            <w:vAlign w:val="center"/>
          </w:tcPr>
          <w:p>
            <w:pPr>
              <w:jc w:val="center"/>
            </w:pPr>
            <w:r>
              <w:rPr>
                <w:rFonts w:ascii="Times New Roman" w:hAnsi="Times New Roman"/>
                <w:sz w:val="13"/>
              </w:rPr>
              <w:t>1</w:t>
            </w:r>
          </w:p>
        </w:tc>
        <w:tc>
          <w:tcPr>
            <w:tcW w:type="dxa" w:w="1169"/>
            <w:tcMar>
              <w:top w:w="60" w:type="dxa"/>
              <w:start w:w="60" w:type="dxa"/>
              <w:bottom w:w="60" w:type="dxa"/>
              <w:end w:w="60" w:type="dxa"/>
            </w:tcMar>
            <w:vAlign w:val="center"/>
          </w:tcPr>
          <w:p>
            <w:pPr>
              <w:jc w:val="center"/>
            </w:pPr>
            <w:r>
              <w:rPr>
                <w:rFonts w:ascii="Times New Roman" w:hAnsi="Times New Roman"/>
                <w:sz w:val="13"/>
              </w:rPr>
              <w:t>0.167</w:t>
            </w:r>
          </w:p>
        </w:tc>
        <w:tc>
          <w:tcPr>
            <w:tcW w:type="dxa" w:w="1169"/>
            <w:tcMar>
              <w:top w:w="60" w:type="dxa"/>
              <w:start w:w="60" w:type="dxa"/>
              <w:bottom w:w="60" w:type="dxa"/>
              <w:end w:w="60" w:type="dxa"/>
            </w:tcMar>
            <w:vAlign w:val="center"/>
          </w:tcPr>
          <w:p>
            <w:pPr>
              <w:jc w:val="center"/>
            </w:pPr>
            <w:r>
              <w:rPr>
                <w:rFonts w:ascii="Times New Roman" w:hAnsi="Times New Roman"/>
                <w:sz w:val="13"/>
              </w:rPr>
              <w:t>0.062</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Sumatra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1</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0.100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0.053</w:t>
            </w:r>
          </w:p>
        </w:tc>
      </w:tr>
      <w:tr>
        <w:tc>
          <w:tcPr>
            <w:tcW w:type="dxa" w:w="1169"/>
            <w:tcMar>
              <w:top w:w="60" w:type="dxa"/>
              <w:start w:w="60" w:type="dxa"/>
              <w:bottom w:w="60" w:type="dxa"/>
              <w:end w:w="60" w:type="dxa"/>
            </w:tcMar>
            <w:vAlign w:val="center"/>
          </w:tcPr>
          <w:p>
            <w:pPr>
              <w:jc w:val="center"/>
            </w:pPr>
            <w:r>
              <w:rPr>
                <w:rFonts w:ascii="Times New Roman" w:hAnsi="Times New Roman"/>
                <w:sz w:val="13"/>
              </w:rPr>
              <w:t>Sulawesi</w:t>
            </w:r>
          </w:p>
        </w:tc>
        <w:tc>
          <w:tcPr>
            <w:tcW w:type="dxa" w:w="1169"/>
            <w:tcMar>
              <w:top w:w="60" w:type="dxa"/>
              <w:start w:w="60" w:type="dxa"/>
              <w:bottom w:w="60" w:type="dxa"/>
              <w:end w:w="60" w:type="dxa"/>
            </w:tcMar>
            <w:vAlign w:val="center"/>
          </w:tcPr>
          <w:p>
            <w:pPr>
              <w:jc w:val="center"/>
            </w:pPr>
            <w:r>
              <w:rPr>
                <w:rFonts w:ascii="Times New Roman" w:hAnsi="Times New Roman"/>
                <w:sz w:val="13"/>
              </w:rPr>
              <w:t>0</w:t>
            </w:r>
          </w:p>
        </w:tc>
        <w:tc>
          <w:tcPr>
            <w:tcW w:type="dxa" w:w="1169"/>
            <w:tcMar>
              <w:top w:w="60" w:type="dxa"/>
              <w:start w:w="60" w:type="dxa"/>
              <w:bottom w:w="60" w:type="dxa"/>
              <w:end w:w="60" w:type="dxa"/>
            </w:tcMar>
            <w:vAlign w:val="center"/>
          </w:tcPr>
          <w:p>
            <w:pPr>
              <w:jc w:val="center"/>
            </w:pPr>
            <w:r>
              <w:rPr>
                <w:rFonts w:ascii="Times New Roman" w:hAnsi="Times New Roman"/>
                <w:sz w:val="13"/>
              </w:rPr>
              <w:t>0.000</w:t>
            </w:r>
          </w:p>
        </w:tc>
        <w:tc>
          <w:tcPr>
            <w:tcW w:type="dxa" w:w="1169"/>
            <w:tcMar>
              <w:top w:w="60" w:type="dxa"/>
              <w:start w:w="60" w:type="dxa"/>
              <w:bottom w:w="60" w:type="dxa"/>
              <w:end w:w="60" w:type="dxa"/>
            </w:tcMar>
            <w:vAlign w:val="center"/>
          </w:tcPr>
          <w:p>
            <w:pPr>
              <w:jc w:val="center"/>
            </w:pPr>
            <w:r>
              <w:rPr>
                <w:rFonts w:ascii="Times New Roman" w:hAnsi="Times New Roman"/>
                <w:sz w:val="13"/>
              </w:rPr>
              <w:t>0.029</w:t>
            </w:r>
          </w:p>
        </w:tc>
      </w:tr>
      <w:tr>
        <w:tc>
          <w:tcPr>
            <w:tcW w:type="dxa" w:w="1169"/>
            <w:shd w:fill="F8FAFB"/>
            <w:tcMar>
              <w:top w:w="60" w:type="dxa"/>
              <w:start w:w="60" w:type="dxa"/>
              <w:bottom w:w="60" w:type="dxa"/>
              <w:end w:w="60" w:type="dxa"/>
            </w:tcMar>
            <w:vAlign w:val="center"/>
          </w:tcPr>
          <w:p>
            <w:pPr>
              <w:jc w:val="center"/>
            </w:pPr>
            <w:r>
              <w:rPr>
                <w:rFonts w:ascii="Times New Roman" w:hAnsi="Times New Roman"/>
                <w:sz w:val="13"/>
              </w:rPr>
              <w:t>Bali-Nusa</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0.000</w:t>
            </w:r>
          </w:p>
        </w:tc>
        <w:tc>
          <w:tcPr>
            <w:tcW w:type="dxa" w:w="1169"/>
            <w:shd w:fill="F8FAFB"/>
            <w:tcMar>
              <w:top w:w="60" w:type="dxa"/>
              <w:start w:w="60" w:type="dxa"/>
              <w:bottom w:w="60" w:type="dxa"/>
              <w:end w:w="60" w:type="dxa"/>
            </w:tcMar>
            <w:vAlign w:val="center"/>
          </w:tcPr>
          <w:p>
            <w:pPr>
              <w:jc w:val="center"/>
            </w:pPr>
            <w:r>
              <w:rPr>
                <w:rFonts w:ascii="Times New Roman" w:hAnsi="Times New Roman"/>
                <w:sz w:val="13"/>
              </w:rPr>
              <w:t>0.009</w:t>
            </w:r>
          </w:p>
        </w:tc>
      </w:tr>
    </w:tbl>
    <w:p/>
    <w:p>
      <w:pPr>
        <w:spacing w:before="20" w:after="60"/>
        <w:jc w:val="center"/>
      </w:pPr>
      <w:r>
        <w:rPr>
          <w:rFonts w:ascii="Times New Roman" w:hAnsi="Times New Roman"/>
          <w:b/>
          <w:sz w:val="15"/>
        </w:rPr>
        <w:t>Tabel VII. Studi kasus provinsi prioritas.</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2"/>
              </w:rPr>
              <w:t>province</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recommended_origin</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2"/>
              </w:rPr>
              <w:t>interpretation</w:t>
            </w:r>
          </w:p>
        </w:tc>
      </w:tr>
      <w:tr>
        <w:tc>
          <w:tcPr>
            <w:tcW w:type="dxa" w:w="1559"/>
            <w:tcMar>
              <w:top w:w="60" w:type="dxa"/>
              <w:start w:w="60" w:type="dxa"/>
              <w:bottom w:w="60" w:type="dxa"/>
              <w:end w:w="60" w:type="dxa"/>
            </w:tcMar>
            <w:vAlign w:val="center"/>
          </w:tcPr>
          <w:p>
            <w:pPr>
              <w:jc w:val="center"/>
            </w:pPr>
            <w:r>
              <w:rPr>
                <w:rFonts w:ascii="Times New Roman" w:hAnsi="Times New Roman"/>
                <w:sz w:val="12"/>
              </w:rPr>
              <w:t>Papua Pegunungan</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DKI Jakarta</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Jawa Timur</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proxy neraca beras defisit</w:t>
            </w:r>
          </w:p>
        </w:tc>
      </w:tr>
      <w:tr>
        <w:tc>
          <w:tcPr>
            <w:tcW w:type="dxa" w:w="1559"/>
            <w:tcMar>
              <w:top w:w="60" w:type="dxa"/>
              <w:start w:w="60" w:type="dxa"/>
              <w:bottom w:w="60" w:type="dxa"/>
              <w:end w:w="60" w:type="dxa"/>
            </w:tcMar>
            <w:vAlign w:val="center"/>
          </w:tcPr>
          <w:p>
            <w:pPr>
              <w:jc w:val="center"/>
            </w:pPr>
            <w:r>
              <w:rPr>
                <w:rFonts w:ascii="Times New Roman" w:hAnsi="Times New Roman"/>
                <w:sz w:val="12"/>
              </w:rPr>
              <w:t>Kalimantan Timur</w:t>
            </w:r>
          </w:p>
        </w:tc>
        <w:tc>
          <w:tcPr>
            <w:tcW w:type="dxa" w:w="1559"/>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tcMar>
              <w:top w:w="60" w:type="dxa"/>
              <w:start w:w="60" w:type="dxa"/>
              <w:bottom w:w="60" w:type="dxa"/>
              <w:end w:w="60" w:type="dxa"/>
            </w:tcMar>
            <w:vAlign w:val="center"/>
          </w:tcPr>
          <w:p>
            <w:pPr>
              <w:jc w:val="center"/>
            </w:pPr>
            <w:r>
              <w:rPr>
                <w:rFonts w:ascii="Times New Roman" w:hAnsi="Times New Roman"/>
                <w:sz w:val="12"/>
              </w:rPr>
              <w:t>harga di atas median nasional; proxy neraca beras defisit</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2"/>
              </w:rPr>
              <w:t>Papua Tengah</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Sulawesi Selatan</w:t>
            </w:r>
          </w:p>
        </w:tc>
        <w:tc>
          <w:tcPr>
            <w:tcW w:type="dxa" w:w="1559"/>
            <w:shd w:fill="F8FAFB"/>
            <w:tcMar>
              <w:top w:w="60" w:type="dxa"/>
              <w:start w:w="60" w:type="dxa"/>
              <w:bottom w:w="60" w:type="dxa"/>
              <w:end w:w="60" w:type="dxa"/>
            </w:tcMar>
            <w:vAlign w:val="center"/>
          </w:tcPr>
          <w:p>
            <w:pPr>
              <w:jc w:val="center"/>
            </w:pPr>
            <w:r>
              <w:rPr>
                <w:rFonts w:ascii="Times New Roman" w:hAnsi="Times New Roman"/>
                <w:sz w:val="12"/>
              </w:rPr>
              <w:t>harga di atas median nasional; kenaikan harga bulanan positif; proxy neraca beras defisit</w:t>
            </w:r>
          </w:p>
        </w:tc>
      </w:tr>
    </w:tbl>
    <w:p/>
    <w:p>
      <w:pPr>
        <w:ind w:firstLine="198"/>
        <w:jc w:val="both"/>
      </w:pPr>
      <w:r>
        <w:rPr>
          <w:rFonts w:ascii="Times New Roman" w:hAnsi="Times New Roman"/>
          <w:sz w:val="18"/>
        </w:rPr>
        <w:t>Stability check dengan perturbasi skor menghasilkan rata-rata overlap Top-10 sebesar 0.86. Nilai ini menunjukkan ranking relatif stabil untuk presentasi awal, walaupun validasi lapangan tetap diperlukan sebelum digunakan sebagai dasar keputusan operasional.</w:t>
      </w:r>
    </w:p>
    <w:p>
      <w:pPr>
        <w:jc w:val="left"/>
      </w:pPr>
      <w:r>
        <w:t>VIII. DASHBOARD DAN IMPLEMENTASI</w:t>
      </w:r>
    </w:p>
    <w:p>
      <w:pPr>
        <w:ind w:firstLine="198"/>
        <w:jc w:val="both"/>
      </w:pPr>
      <w:r>
        <w:rPr>
          <w:rFonts w:ascii="Times New Roman" w:hAnsi="Times New Roman"/>
          <w:sz w:val="18"/>
        </w:rPr>
        <w:t>Dashboard Streamlit PanganFlow.ID dirancang sebagai alat presentasi dan eksplorasi. Tampilan utamanya terdiri atas peta tekanan beras, Top-K rekomendasi aliran, profil provinsi, feature explanations, tabel sumber data, dan panel validasi. Desain dashboard menempatkan rekomendasi sebagai prioritas review manusia agar tidak disalahpahami sebagai instruksi distribusi otomatis.</w:t>
      </w:r>
    </w:p>
    <w:p>
      <w:pPr>
        <w:jc w:val="center"/>
      </w:pPr>
      <w:r>
        <w:drawing>
          <wp:inline xmlns:a="http://schemas.openxmlformats.org/drawingml/2006/main" xmlns:pic="http://schemas.openxmlformats.org/drawingml/2006/picture">
            <wp:extent cx="2971800" cy="1783080"/>
            <wp:docPr id="6" name="Picture 6"/>
            <wp:cNvGraphicFramePr>
              <a:graphicFrameLocks noChangeAspect="1"/>
            </wp:cNvGraphicFramePr>
            <a:graphic>
              <a:graphicData uri="http://schemas.openxmlformats.org/drawingml/2006/picture">
                <pic:pic>
                  <pic:nvPicPr>
                    <pic:cNvPr id="0" name="dashboard_preview.png"/>
                    <pic:cNvPicPr/>
                  </pic:nvPicPr>
                  <pic:blipFill>
                    <a:blip r:embed="rId26"/>
                    <a:stretch>
                      <a:fillRect/>
                    </a:stretch>
                  </pic:blipFill>
                  <pic:spPr>
                    <a:xfrm>
                      <a:off x="0" y="0"/>
                      <a:ext cx="2971800" cy="1783080"/>
                    </a:xfrm>
                    <a:prstGeom prst="rect"/>
                  </pic:spPr>
                </pic:pic>
              </a:graphicData>
            </a:graphic>
          </wp:inline>
        </w:drawing>
      </w:r>
    </w:p>
    <w:p>
      <w:pPr>
        <w:spacing w:before="20" w:after="60"/>
        <w:jc w:val="center"/>
      </w:pPr>
      <w:r>
        <w:rPr>
          <w:rFonts w:ascii="Times New Roman" w:hAnsi="Times New Roman"/>
          <w:b/>
          <w:sz w:val="15"/>
        </w:rPr>
        <w:t>Gambar 6. Pratinjau dashboard PanganFlow.ID.</w:t>
      </w:r>
    </w:p>
    <w:p>
      <w:pPr>
        <w:jc w:val="left"/>
      </w:pPr>
      <w:r>
        <w:t>IX. KETERBATASAN</w:t>
      </w:r>
    </w:p>
    <w:p>
      <w:pPr>
        <w:spacing w:after="20"/>
      </w:pPr>
      <w:r>
        <w:rPr>
          <w:rFonts w:ascii="Times New Roman" w:hAnsi="Times New Roman"/>
          <w:sz w:val="17"/>
        </w:rPr>
        <w:t>- Neraca surplus-defisit memakai proxy tahunan; stok awal, cadangan, arus masuk, dan arus keluar belum dimodelkan penuh.</w:t>
      </w:r>
    </w:p>
    <w:p>
      <w:pPr>
        <w:spacing w:after="20"/>
      </w:pPr>
      <w:r>
        <w:rPr>
          <w:rFonts w:ascii="Times New Roman" w:hAnsi="Times New Roman"/>
          <w:sz w:val="17"/>
        </w:rPr>
        <w:t>- Harga Bapanas bulanan lebih stabil untuk reproduksi, tetapi tidak sedetail harga harian PIHPS.</w:t>
      </w:r>
    </w:p>
    <w:p>
      <w:pPr>
        <w:spacing w:after="20"/>
      </w:pPr>
      <w:r>
        <w:rPr>
          <w:rFonts w:ascii="Times New Roman" w:hAnsi="Times New Roman"/>
          <w:sz w:val="17"/>
        </w:rPr>
        <w:t>- Jarak centroid hanya proxy biaya logistik; moda transportasi, pelabuhan, gudang, dan kapasitas distribusi belum masuk.</w:t>
      </w:r>
    </w:p>
    <w:p>
      <w:pPr>
        <w:spacing w:after="20"/>
      </w:pPr>
      <w:r>
        <w:rPr>
          <w:rFonts w:ascii="Times New Roman" w:hAnsi="Times New Roman"/>
          <w:sz w:val="17"/>
        </w:rPr>
        <w:t>- Model ranking mempelajari proxy prioritas, bukan ground-truth kebijakan resmi.</w:t>
      </w:r>
    </w:p>
    <w:p>
      <w:pPr>
        <w:jc w:val="left"/>
      </w:pPr>
      <w:r>
        <w:t>X. KESIMPULAN</w:t>
      </w:r>
    </w:p>
    <w:p>
      <w:pPr>
        <w:ind w:firstLine="198"/>
        <w:jc w:val="both"/>
      </w:pPr>
      <w:r>
        <w:rPr>
          <w:rFonts w:ascii="Times New Roman" w:hAnsi="Times New Roman"/>
          <w:sz w:val="18"/>
        </w:rPr>
        <w:t>PanganFlow.ID menunjukkan bahwa data harga, produksi, konsumsi, dan spasial dapat digabung menjadi sistem penambangan data yang lebih kaya daripada prediksi harga tunggal. Output utamanya adalah ranking provinsi prioritas, cluster kondisi pangan, dan rekomendasi aliran surplus-defisit yang dapat dijelaskan. Dengan perluasan data stok dan logistik, sistem ini dapat dikembangkan menjadi early warning dan decision-support untuk mendukung kemandirian pangan nasional.</w:t>
      </w:r>
    </w:p>
    <w:p>
      <w:pPr>
        <w:jc w:val="left"/>
      </w:pPr>
      <w:r>
        <w:t>Pengembangan Lanjutan</w:t>
      </w:r>
    </w:p>
    <w:p>
      <w:pPr>
        <w:ind w:firstLine="198"/>
        <w:jc w:val="both"/>
      </w:pPr>
      <w:r>
        <w:rPr>
          <w:rFonts w:ascii="Times New Roman" w:hAnsi="Times New Roman"/>
          <w:sz w:val="18"/>
        </w:rPr>
        <w:t>Tahap berikutnya adalah memasukkan stok awal, cadangan pemerintah, data distribusi masuk-keluar, kalender panen, dan indikator gangguan transportasi. Dengan variabel tersebut, skor flow dapat ditingkatkan dari prioritas review menjadi optimasi berbatas kapasitas yang mempertimbangkan biaya, waktu tempuh, dan kapasitas gudang.</w:t>
      </w:r>
    </w:p>
    <w:p>
      <w:pPr>
        <w:ind w:firstLine="198"/>
        <w:jc w:val="both"/>
      </w:pPr>
      <w:r>
        <w:rPr>
          <w:rFonts w:ascii="Times New Roman" w:hAnsi="Times New Roman"/>
          <w:sz w:val="18"/>
        </w:rPr>
        <w:t>Dari sisi evaluasi, tim dapat menambah validasi pakar pangan, membandingkan rekomendasi dengan pola distribusi historis, serta melakukan backtesting pada periode kenaikan harga beras. Pengembangan multi-komoditas juga dapat dilakukan setelah tersedia data produksi dan konsumsi yang konsisten untuk cabai, bawang, telur, dan minyak goreng.</w:t>
      </w:r>
    </w:p>
    <w:p>
      <w:r>
        <w:br w:type="page"/>
      </w:r>
    </w:p>
    <w:p>
      <w:pPr>
        <w:jc w:val="left"/>
      </w:pPr>
      <w:r>
        <w:t>XI. REPRODUCIBILITY CHECKLIST</w:t>
      </w:r>
    </w:p>
    <w:p>
      <w:pPr>
        <w:ind w:firstLine="198"/>
        <w:jc w:val="both"/>
      </w:pPr>
      <w:r>
        <w:rPr>
          <w:rFonts w:ascii="Times New Roman" w:hAnsi="Times New Roman"/>
          <w:sz w:val="18"/>
        </w:rPr>
        <w:t>Artefak dibuat agar dapat dijalankan ulang oleh tim maupun reviewer internal. Struktur proyek memisahkan data mentah, data terproses, tabel laporan, figur, source code, dashboard, dan dokumen final. Perintah publik yang disediakan adalah build dataset, train model, build report, dan menjalankan dashboard Streamlit.</w:t>
      </w:r>
    </w:p>
    <w:p>
      <w:pPr>
        <w:spacing w:after="20"/>
      </w:pPr>
      <w:r>
        <w:rPr>
          <w:rFonts w:ascii="Times New Roman" w:hAnsi="Times New Roman"/>
          <w:sz w:val="17"/>
        </w:rPr>
        <w:t>- Dataset utama: data/processed/province_commodity_panel.csv.</w:t>
      </w:r>
    </w:p>
    <w:p>
      <w:pPr>
        <w:spacing w:after="20"/>
      </w:pPr>
      <w:r>
        <w:rPr>
          <w:rFonts w:ascii="Times New Roman" w:hAnsi="Times New Roman"/>
          <w:sz w:val="17"/>
        </w:rPr>
        <w:t>- Rekomendasi utama: data/processed/flow_recommendations.csv.</w:t>
      </w:r>
    </w:p>
    <w:p>
      <w:pPr>
        <w:spacing w:after="20"/>
      </w:pPr>
      <w:r>
        <w:rPr>
          <w:rFonts w:ascii="Times New Roman" w:hAnsi="Times New Roman"/>
          <w:sz w:val="17"/>
        </w:rPr>
        <w:t>- Evaluasi: reports/tables/metrics_summary.csv, feature_ablation.csv, ranking_stability.csv.</w:t>
      </w:r>
    </w:p>
    <w:p>
      <w:pPr>
        <w:spacing w:after="20"/>
      </w:pPr>
      <w:r>
        <w:rPr>
          <w:rFonts w:ascii="Times New Roman" w:hAnsi="Times New Roman"/>
          <w:sz w:val="17"/>
        </w:rPr>
        <w:t>- Validasi: reports/tables/validation_checks.csv dan source_status.csv.</w:t>
      </w:r>
    </w:p>
    <w:p>
      <w:pPr>
        <w:spacing w:after="20"/>
      </w:pPr>
      <w:r>
        <w:rPr>
          <w:rFonts w:ascii="Times New Roman" w:hAnsi="Times New Roman"/>
          <w:sz w:val="17"/>
        </w:rPr>
        <w:t>- Dokumen final: DOCX dan PDF dengan penamaan GEMASTIK placeholder ID_TIM dan NAMA_TIM.</w:t>
      </w:r>
    </w:p>
    <w:p>
      <w:pPr>
        <w:spacing w:before="20" w:after="60"/>
        <w:jc w:val="center"/>
      </w:pPr>
      <w:r>
        <w:rPr>
          <w:rFonts w:ascii="Times New Roman" w:hAnsi="Times New Roman"/>
          <w:b/>
          <w:sz w:val="15"/>
        </w:rPr>
        <w:t>Tabel VIII. Ringkasan validasi artefak.</w:t>
      </w:r>
    </w:p>
    <w:tbl>
      <w:tblPr>
        <w:tblW w:type="dxa" w:w="4677"/>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477"/>
        <w:gridCol w:w="3477"/>
        <w:gridCol w:w="3477"/>
      </w:tblGrid>
      <w:tr>
        <w:tc>
          <w:tcPr>
            <w:tcW w:type="dxa" w:w="1559"/>
            <w:shd w:fill="E7EEF2"/>
            <w:tcMar>
              <w:top w:w="60" w:type="dxa"/>
              <w:start w:w="60" w:type="dxa"/>
              <w:bottom w:w="60" w:type="dxa"/>
              <w:end w:w="60" w:type="dxa"/>
            </w:tcMar>
            <w:vAlign w:val="center"/>
          </w:tcPr>
          <w:p>
            <w:pPr>
              <w:jc w:val="center"/>
            </w:pPr>
            <w:r>
              <w:rPr>
                <w:rFonts w:ascii="Times New Roman" w:hAnsi="Times New Roman"/>
                <w:b/>
                <w:sz w:val="14"/>
              </w:rPr>
              <w:t>check</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status</w:t>
            </w:r>
          </w:p>
        </w:tc>
        <w:tc>
          <w:tcPr>
            <w:tcW w:type="dxa" w:w="1559"/>
            <w:shd w:fill="E7EEF2"/>
            <w:tcMar>
              <w:top w:w="60" w:type="dxa"/>
              <w:start w:w="60" w:type="dxa"/>
              <w:bottom w:w="60" w:type="dxa"/>
              <w:end w:w="60" w:type="dxa"/>
            </w:tcMar>
            <w:vAlign w:val="center"/>
          </w:tcPr>
          <w:p>
            <w:pPr>
              <w:jc w:val="center"/>
            </w:pPr>
            <w:r>
              <w:rPr>
                <w:rFonts w:ascii="Times New Roman" w:hAnsi="Times New Roman"/>
                <w:b/>
                <w:sz w:val="14"/>
              </w:rPr>
              <w:t>value</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flow_no_self_pairs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tcMar>
              <w:top w:w="60" w:type="dxa"/>
              <w:start w:w="60" w:type="dxa"/>
              <w:bottom w:w="60" w:type="dxa"/>
              <w:end w:w="60" w:type="dxa"/>
            </w:tcMar>
            <w:vAlign w:val="center"/>
          </w:tcPr>
          <w:p>
            <w:pPr>
              <w:jc w:val="center"/>
            </w:pPr>
            <w:r>
              <w:rPr>
                <w:rFonts w:ascii="Times New Roman" w:hAnsi="Times New Roman"/>
                <w:sz w:val="14"/>
              </w:rPr>
              <w:t>flow_origin_surplus_positive</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0.0</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ranking_snapshot_rows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38.0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stability_mean_top10_overlap</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0.863</w:t>
            </w:r>
          </w:p>
        </w:tc>
      </w:tr>
      <w:tr>
        <w:tc>
          <w:tcPr>
            <w:tcW w:type="dxa" w:w="1559"/>
            <w:shd w:fill="F8FAFB"/>
            <w:tcMar>
              <w:top w:w="60" w:type="dxa"/>
              <w:start w:w="60" w:type="dxa"/>
              <w:bottom w:w="60" w:type="dxa"/>
              <w:end w:w="60" w:type="dxa"/>
            </w:tcMar>
            <w:vAlign w:val="center"/>
          </w:tcPr>
          <w:p>
            <w:pPr>
              <w:jc w:val="center"/>
            </w:pPr>
            <w:r>
              <w:rPr>
                <w:rFonts w:ascii="Times New Roman" w:hAnsi="Times New Roman"/>
                <w:sz w:val="14"/>
              </w:rPr>
              <w:t>case_studies_generated</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pass</w:t>
            </w:r>
          </w:p>
        </w:tc>
        <w:tc>
          <w:tcPr>
            <w:tcW w:type="dxa" w:w="1559"/>
            <w:shd w:fill="F8FAFB"/>
            <w:tcMar>
              <w:top w:w="60" w:type="dxa"/>
              <w:start w:w="60" w:type="dxa"/>
              <w:bottom w:w="60" w:type="dxa"/>
              <w:end w:w="60" w:type="dxa"/>
            </w:tcMar>
            <w:vAlign w:val="center"/>
          </w:tcPr>
          <w:p>
            <w:pPr>
              <w:jc w:val="center"/>
            </w:pPr>
            <w:r>
              <w:rPr>
                <w:rFonts w:ascii="Times New Roman" w:hAnsi="Times New Roman"/>
                <w:sz w:val="14"/>
              </w:rPr>
              <w:t>4.0</w:t>
            </w:r>
          </w:p>
        </w:tc>
      </w:tr>
      <w:tr>
        <w:tc>
          <w:tcPr>
            <w:tcW w:type="dxa" w:w="1559"/>
            <w:tcMar>
              <w:top w:w="60" w:type="dxa"/>
              <w:start w:w="60" w:type="dxa"/>
              <w:bottom w:w="60" w:type="dxa"/>
              <w:end w:w="60" w:type="dxa"/>
            </w:tcMar>
            <w:vAlign w:val="center"/>
          </w:tcPr>
          <w:p>
            <w:pPr>
              <w:jc w:val="center"/>
            </w:pPr>
            <w:r>
              <w:rPr>
                <w:rFonts w:ascii="Times New Roman" w:hAnsi="Times New Roman"/>
                <w:sz w:val="14"/>
              </w:rPr>
              <w:t>subgroup_fairness_regions</w:t>
            </w:r>
          </w:p>
        </w:tc>
        <w:tc>
          <w:tcPr>
            <w:tcW w:type="dxa" w:w="1559"/>
            <w:tcMar>
              <w:top w:w="60" w:type="dxa"/>
              <w:start w:w="60" w:type="dxa"/>
              <w:bottom w:w="60" w:type="dxa"/>
              <w:end w:w="60" w:type="dxa"/>
            </w:tcMar>
            <w:vAlign w:val="center"/>
          </w:tcPr>
          <w:p>
            <w:pPr>
              <w:jc w:val="center"/>
            </w:pPr>
            <w:r>
              <w:rPr>
                <w:rFonts w:ascii="Times New Roman" w:hAnsi="Times New Roman"/>
                <w:sz w:val="14"/>
              </w:rPr>
              <w:t>pass</w:t>
            </w:r>
          </w:p>
        </w:tc>
        <w:tc>
          <w:tcPr>
            <w:tcW w:type="dxa" w:w="1559"/>
            <w:tcMar>
              <w:top w:w="60" w:type="dxa"/>
              <w:start w:w="60" w:type="dxa"/>
              <w:bottom w:w="60" w:type="dxa"/>
              <w:end w:w="60" w:type="dxa"/>
            </w:tcMar>
            <w:vAlign w:val="center"/>
          </w:tcPr>
          <w:p>
            <w:pPr>
              <w:jc w:val="center"/>
            </w:pPr>
            <w:r>
              <w:rPr>
                <w:rFonts w:ascii="Times New Roman" w:hAnsi="Times New Roman"/>
                <w:sz w:val="14"/>
              </w:rPr>
              <w:t>6.0</w:t>
            </w:r>
          </w:p>
        </w:tc>
      </w:tr>
    </w:tbl>
    <w:p/>
    <w:p>
      <w:pPr>
        <w:jc w:val="left"/>
      </w:pPr>
      <w:r>
        <w:t>DAFTAR PUSTAKA</w:t>
      </w:r>
    </w:p>
    <w:p>
      <w:pPr>
        <w:ind w:left="255" w:hanging="255"/>
      </w:pPr>
      <w:r>
        <w:rPr>
          <w:rFonts w:ascii="Times New Roman" w:hAnsi="Times New Roman"/>
          <w:sz w:val="16"/>
        </w:rPr>
        <w:t>[1] Bank Indonesia. Pusat Informasi Harga Pangan Strategis Nasional. https://www.bi.go.id/hargapangan/home/index/widget</w:t>
      </w:r>
    </w:p>
    <w:p>
      <w:pPr>
        <w:ind w:left="255" w:hanging="255"/>
      </w:pPr>
      <w:r>
        <w:rPr>
          <w:rFonts w:ascii="Times New Roman" w:hAnsi="Times New Roman"/>
          <w:sz w:val="16"/>
        </w:rPr>
        <w:t>[2] Bank Indonesia. User Manual Pusat Informasi Harga Pangan Strategis. https://www.bi.go.id/hargapangan/images/manual.pdf</w:t>
      </w:r>
    </w:p>
    <w:p>
      <w:pPr>
        <w:ind w:left="255" w:hanging="255"/>
      </w:pPr>
      <w:r>
        <w:rPr>
          <w:rFonts w:ascii="Times New Roman" w:hAnsi="Times New Roman"/>
          <w:sz w:val="16"/>
        </w:rPr>
        <w:t>[3] Badan Pangan Nasional. Rata-rata Harga Pangan Bulanan Tingkat Konsumen Provinsi. https://satudata.badanpangan.go.id/datasetpublications/tq2/harga-pangan-tingkat-konsumen-provinsi</w:t>
      </w:r>
    </w:p>
    <w:p>
      <w:pPr>
        <w:ind w:left="255" w:hanging="255"/>
      </w:pPr>
      <w:r>
        <w:rPr>
          <w:rFonts w:ascii="Times New Roman" w:hAnsi="Times New Roman"/>
          <w:sz w:val="16"/>
        </w:rPr>
        <w:t>[4] Badan Pusat Statistik. Produksi Padi dan Beras Menurut Provinsi. https://www.bps.go.id/id/statistics-table/3/ZDNaak0yODBUVTlGYW5sa2REUkVUVVY1YVZkbmR6MDkjMyMwMDAw/produksi-padi-sup-1-sup-dan-beras-menurut-provinsi.html?year=2024</w:t>
      </w:r>
    </w:p>
    <w:p>
      <w:pPr>
        <w:ind w:left="255" w:hanging="255"/>
      </w:pPr>
      <w:r>
        <w:rPr>
          <w:rFonts w:ascii="Times New Roman" w:hAnsi="Times New Roman"/>
          <w:sz w:val="16"/>
        </w:rPr>
        <w:t>[5] Badan Pusat Statistik. Pengeluaran untuk Konsumsi Penduduk Indonesia per Provinsi, Maret 2024. https://www.bps.go.id/id/publication/2024/10/18/dda144ad01aec46898795ccf/pengeluaran-untuk-konsumsi-penduduk-indonesia-per-provinsi--maret-2024.html/</w:t>
      </w:r>
    </w:p>
    <w:p>
      <w:pPr>
        <w:ind w:left="255" w:hanging="255"/>
      </w:pPr>
      <w:r>
        <w:rPr>
          <w:rFonts w:ascii="Times New Roman" w:hAnsi="Times New Roman"/>
          <w:sz w:val="16"/>
        </w:rPr>
        <w:t>[6] L. Breiman. Random Forests. Machine Learning, 2001. https://doi.org/10.1023/A:1010933404324</w:t>
      </w:r>
    </w:p>
    <w:p>
      <w:pPr>
        <w:ind w:left="255" w:hanging="255"/>
      </w:pPr>
      <w:r>
        <w:rPr>
          <w:rFonts w:ascii="Times New Roman" w:hAnsi="Times New Roman"/>
          <w:sz w:val="16"/>
        </w:rPr>
        <w:t>[7] F. T. Liu, K. M. Ting, and Z. H. Zhou. Isolation Forest. ICDM, 2008. https://doi.org/10.1109/ICDM.2008.17</w:t>
      </w:r>
    </w:p>
    <w:p>
      <w:pPr>
        <w:ind w:left="255" w:hanging="255"/>
      </w:pPr>
      <w:r>
        <w:rPr>
          <w:rFonts w:ascii="Times New Roman" w:hAnsi="Times New Roman"/>
          <w:sz w:val="16"/>
        </w:rPr>
        <w:t>[8] J. MacQueen. Some Methods for Classification and Analysis of Multivariate Observations. 1967. https://projecteuclid.org/euclid.bsmsp/1200512992</w:t>
      </w:r>
    </w:p>
    <w:sectPr w:rsidR="00A15392" w:rsidRPr="00440DA7" w:rsidSect="004C669A">
      <w:type w:val="continuous"/>
      <w:pgSz w:w="11906" w:h="16838"/>
      <w:pgMar w:top="1304" w:right="737" w:bottom="1020"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114704" w14:textId="77777777" w:rsidR="005858B2" w:rsidRDefault="005858B2" w:rsidP="005376F2">
      <w:r>
        <w:separator/>
      </w:r>
    </w:p>
  </w:endnote>
  <w:endnote w:type="continuationSeparator" w:id="0">
    <w:p w14:paraId="5F19D424" w14:textId="77777777" w:rsidR="005858B2" w:rsidRDefault="005858B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A7F8C" w14:textId="5E5EF216" w:rsidR="00000000" w:rsidRPr="00C36842" w:rsidRDefault="003D5332" w:rsidP="00937089">
    <w:pPr>
      <w:pStyle w:val="GEMASTIKFooter"/>
      <w:rPr>
        <w:sz w:val="18"/>
        <w:szCs w:val="18"/>
        <w:lang w:val="en-US"/>
      </w:rPr>
    </w:pPr>
    <w:r w:rsidRPr="00937089">
      <w:t xml:space="preserve">Volume 1 Nomor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r w:rsidR="00440DA7">
      <w:t>Ketua</w:t>
    </w:r>
    <w:r w:rsidR="003A5A42" w:rsidRPr="00D0664B">
      <w:t xml:space="preserve"> </w:t>
    </w:r>
    <w:r w:rsidR="00440DA7">
      <w:t>Tim</w:t>
    </w:r>
    <w:r w:rsidR="003A5A42" w:rsidRPr="00D0664B">
      <w:t xml:space="preserve">: Empat kata pertama judul </w:t>
    </w:r>
    <w:r w:rsidR="00472334">
      <w:t>makalah</w:t>
    </w:r>
    <w:r w:rsidR="003A5A42" w:rsidRPr="00D0664B">
      <w:t xml:space="preserve"> diikuti titik-titik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C26E21" w14:textId="14E38E5F" w:rsidR="00000000" w:rsidRPr="00274E4E" w:rsidRDefault="003E50E5" w:rsidP="00937089">
    <w:pPr>
      <w:pStyle w:val="Footer"/>
      <w:tabs>
        <w:tab w:val="clear" w:pos="4320"/>
        <w:tab w:val="clear" w:pos="8640"/>
        <w:tab w:val="right" w:pos="10490"/>
      </w:tabs>
      <w:rPr>
        <w:rFonts w:ascii="Helvetica" w:hAnsi="Helvetica"/>
        <w:sz w:val="16"/>
        <w:szCs w:val="16"/>
      </w:rPr>
    </w:pPr>
    <w:r>
      <w:rPr>
        <w:rFonts w:ascii="Helvetica" w:hAnsi="Helvetica" w:cs="Helvetica"/>
        <w:sz w:val="16"/>
        <w:szCs w:val="16"/>
      </w:rPr>
      <w:t>Ketua Tim</w:t>
    </w:r>
    <w:r w:rsidR="003A5A42" w:rsidRPr="00937089">
      <w:rPr>
        <w:rFonts w:ascii="Helvetica" w:hAnsi="Helvetica" w:cs="Helvetica"/>
        <w:sz w:val="16"/>
        <w:szCs w:val="16"/>
      </w:rPr>
      <w:t xml:space="preserve">: Empat kata pertama judul </w:t>
    </w:r>
    <w:r>
      <w:rPr>
        <w:rFonts w:ascii="Helvetica" w:hAnsi="Helvetica" w:cs="Helvetica"/>
        <w:sz w:val="16"/>
        <w:szCs w:val="16"/>
      </w:rPr>
      <w:t>makalah</w:t>
    </w:r>
    <w:r w:rsidR="003A5A42" w:rsidRPr="00937089">
      <w:rPr>
        <w:rFonts w:ascii="Helvetica" w:hAnsi="Helvetica" w:cs="Helvetica"/>
        <w:sz w:val="16"/>
        <w:szCs w:val="16"/>
      </w:rPr>
      <w:t xml:space="preserve"> diikuti titik-titik (...)</w:t>
    </w:r>
    <w:r w:rsidR="003A5A42" w:rsidRPr="00937089">
      <w:rPr>
        <w:rFonts w:ascii="Helvetica" w:hAnsi="Helvetica"/>
        <w:sz w:val="16"/>
        <w:szCs w:val="16"/>
      </w:rPr>
      <w:tab/>
    </w:r>
    <w:r w:rsidR="00EE4829" w:rsidRPr="00937089">
      <w:rPr>
        <w:rFonts w:ascii="Helvetica" w:hAnsi="Helvetica"/>
        <w:sz w:val="16"/>
        <w:szCs w:val="16"/>
      </w:rPr>
      <w:t xml:space="preserve">Volume </w:t>
    </w:r>
    <w:r>
      <w:rPr>
        <w:rFonts w:ascii="Helvetica" w:hAnsi="Helvetica"/>
        <w:sz w:val="16"/>
        <w:szCs w:val="16"/>
      </w:rPr>
      <w:t>1</w:t>
    </w:r>
    <w:r w:rsidR="00EE4829" w:rsidRPr="00937089">
      <w:rPr>
        <w:rFonts w:ascii="Helvetica" w:hAnsi="Helvetica"/>
        <w:sz w:val="16"/>
        <w:szCs w:val="16"/>
      </w:rPr>
      <w:t xml:space="preserve"> Nomor </w:t>
    </w:r>
    <w:r>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Pr>
        <w:rFonts w:ascii="Helvetica" w:hAnsi="Helvetica"/>
        <w:sz w:val="16"/>
        <w:szCs w:val="16"/>
      </w:rPr>
      <w:t xml:space="preserve"> 202</w:t>
    </w:r>
    <w:r w:rsidR="003451C3">
      <w:rPr>
        <w:rFonts w:ascii="Helvetica" w:hAnsi="Helvetica"/>
        <w:sz w:val="16"/>
        <w:szCs w:val="16"/>
      </w:rPr>
      <w:t>4</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90E54A" w14:textId="77777777" w:rsidR="005858B2" w:rsidRDefault="005858B2" w:rsidP="005376F2">
      <w:r>
        <w:separator/>
      </w:r>
    </w:p>
  </w:footnote>
  <w:footnote w:type="continuationSeparator" w:id="0">
    <w:p w14:paraId="05912261" w14:textId="77777777" w:rsidR="005858B2" w:rsidRDefault="005858B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0665CA4" w14:textId="77777777" w:rsidTr="004D24E6">
      <w:tc>
        <w:tcPr>
          <w:tcW w:w="10490" w:type="dxa"/>
        </w:tcPr>
        <w:p w14:paraId="2FEB79F6" w14:textId="58A63128"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77B2B100" w14:textId="66F3A3C5" w:rsidR="004D24E6" w:rsidRDefault="00440DA7" w:rsidP="00937089">
          <w:pPr>
            <w:pStyle w:val="GemastikISSN"/>
            <w:ind w:right="-113"/>
          </w:pPr>
          <w:r w:rsidRPr="00440DA7">
            <w:t>ISSN: xxxxxx</w:t>
          </w:r>
        </w:p>
        <w:p w14:paraId="1D3D36A7" w14:textId="77777777" w:rsidR="004D24E6" w:rsidRPr="004D24E6" w:rsidRDefault="004D24E6" w:rsidP="007A7417">
          <w:pPr>
            <w:pStyle w:val="Header"/>
            <w:tabs>
              <w:tab w:val="left" w:pos="5732"/>
            </w:tabs>
            <w:ind w:right="-113"/>
            <w:rPr>
              <w:color w:val="000000" w:themeColor="text1"/>
              <w:sz w:val="14"/>
              <w:szCs w:val="14"/>
            </w:rPr>
          </w:pPr>
        </w:p>
      </w:tc>
    </w:tr>
  </w:tbl>
  <w:p w14:paraId="01FCCD5C" w14:textId="77777777" w:rsidR="00000000" w:rsidRPr="00C36842" w:rsidRDefault="00000000" w:rsidP="005606DB">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BF6B990" w14:textId="77777777" w:rsidTr="00BC3182">
      <w:trPr>
        <w:jc w:val="center"/>
      </w:trPr>
      <w:tc>
        <w:tcPr>
          <w:tcW w:w="10490" w:type="dxa"/>
        </w:tcPr>
        <w:p w14:paraId="056BA87F" w14:textId="24A1E279"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E2BB90D" w14:textId="634AB822" w:rsidR="00BC3182" w:rsidRDefault="003E50E5" w:rsidP="001073F4">
          <w:pPr>
            <w:pStyle w:val="Header"/>
            <w:ind w:left="-57"/>
            <w:rPr>
              <w:rFonts w:ascii="Helvetica" w:hAnsi="Helvetica"/>
              <w:sz w:val="14"/>
              <w:szCs w:val="14"/>
              <w:lang w:val="en-US"/>
            </w:rPr>
          </w:pPr>
          <w:r>
            <w:rPr>
              <w:rFonts w:ascii="Helvetica" w:hAnsi="Helvetica"/>
              <w:sz w:val="14"/>
              <w:szCs w:val="14"/>
              <w:lang w:val="en-US"/>
            </w:rPr>
            <w:t>ISSN: xxxxxx</w:t>
          </w:r>
        </w:p>
        <w:p w14:paraId="3E66E1F1"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13398914" w14:textId="77777777" w:rsidR="0000000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225868964">
    <w:abstractNumId w:val="7"/>
  </w:num>
  <w:num w:numId="2" w16cid:durableId="1505701574">
    <w:abstractNumId w:val="8"/>
  </w:num>
  <w:num w:numId="3" w16cid:durableId="1038817292">
    <w:abstractNumId w:val="4"/>
  </w:num>
  <w:num w:numId="4" w16cid:durableId="1870290875">
    <w:abstractNumId w:val="2"/>
  </w:num>
  <w:num w:numId="5" w16cid:durableId="255097446">
    <w:abstractNumId w:val="0"/>
  </w:num>
  <w:num w:numId="6" w16cid:durableId="1366366746">
    <w:abstractNumId w:val="1"/>
  </w:num>
  <w:num w:numId="7" w16cid:durableId="8837176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8"/>
  </w:num>
  <w:num w:numId="9" w16cid:durableId="2008092545">
    <w:abstractNumId w:val="8"/>
  </w:num>
  <w:num w:numId="10" w16cid:durableId="1242374703">
    <w:abstractNumId w:val="8"/>
  </w:num>
  <w:num w:numId="11" w16cid:durableId="2086023920">
    <w:abstractNumId w:val="0"/>
  </w:num>
  <w:num w:numId="12" w16cid:durableId="2693618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3"/>
  </w:num>
  <w:num w:numId="20" w16cid:durableId="1811746046">
    <w:abstractNumId w:val="3"/>
    <w:lvlOverride w:ilvl="0">
      <w:startOverride w:val="1"/>
    </w:lvlOverride>
  </w:num>
  <w:num w:numId="21" w16cid:durableId="1981301749">
    <w:abstractNumId w:val="5"/>
  </w:num>
  <w:num w:numId="22" w16cid:durableId="222445682">
    <w:abstractNumId w:val="6"/>
  </w:num>
  <w:num w:numId="23" w16cid:durableId="6675131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6140D"/>
    <w:rsid w:val="00062DA4"/>
    <w:rsid w:val="00072315"/>
    <w:rsid w:val="00073CAA"/>
    <w:rsid w:val="00081D01"/>
    <w:rsid w:val="00095B39"/>
    <w:rsid w:val="000B2270"/>
    <w:rsid w:val="000B4E91"/>
    <w:rsid w:val="000B5639"/>
    <w:rsid w:val="000C291C"/>
    <w:rsid w:val="000D5E6E"/>
    <w:rsid w:val="000F11D3"/>
    <w:rsid w:val="000F6613"/>
    <w:rsid w:val="001008B1"/>
    <w:rsid w:val="00100F69"/>
    <w:rsid w:val="00101CF5"/>
    <w:rsid w:val="00102369"/>
    <w:rsid w:val="00103D71"/>
    <w:rsid w:val="001073F4"/>
    <w:rsid w:val="001148FE"/>
    <w:rsid w:val="00127ED9"/>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30AD8"/>
    <w:rsid w:val="002340AC"/>
    <w:rsid w:val="00236AE6"/>
    <w:rsid w:val="00236D5B"/>
    <w:rsid w:val="002523A5"/>
    <w:rsid w:val="002625CE"/>
    <w:rsid w:val="00263C82"/>
    <w:rsid w:val="0026678E"/>
    <w:rsid w:val="00274E4E"/>
    <w:rsid w:val="00276578"/>
    <w:rsid w:val="002864C7"/>
    <w:rsid w:val="00292E21"/>
    <w:rsid w:val="002A7FFB"/>
    <w:rsid w:val="002B0EE1"/>
    <w:rsid w:val="002B3E6E"/>
    <w:rsid w:val="002F5AD2"/>
    <w:rsid w:val="00300109"/>
    <w:rsid w:val="0031594D"/>
    <w:rsid w:val="00317127"/>
    <w:rsid w:val="00330CC8"/>
    <w:rsid w:val="00334321"/>
    <w:rsid w:val="003451C3"/>
    <w:rsid w:val="00355B3D"/>
    <w:rsid w:val="003577D5"/>
    <w:rsid w:val="00382D7F"/>
    <w:rsid w:val="00394257"/>
    <w:rsid w:val="00395A57"/>
    <w:rsid w:val="003A5A42"/>
    <w:rsid w:val="003B4B77"/>
    <w:rsid w:val="003C03FC"/>
    <w:rsid w:val="003D5332"/>
    <w:rsid w:val="003D6180"/>
    <w:rsid w:val="003D657E"/>
    <w:rsid w:val="003E50E5"/>
    <w:rsid w:val="003E757D"/>
    <w:rsid w:val="003F6F36"/>
    <w:rsid w:val="00403992"/>
    <w:rsid w:val="00412322"/>
    <w:rsid w:val="00430696"/>
    <w:rsid w:val="00440DA7"/>
    <w:rsid w:val="00443F36"/>
    <w:rsid w:val="00446714"/>
    <w:rsid w:val="00450D82"/>
    <w:rsid w:val="0045624D"/>
    <w:rsid w:val="004674DE"/>
    <w:rsid w:val="00472334"/>
    <w:rsid w:val="00473ECC"/>
    <w:rsid w:val="00480B74"/>
    <w:rsid w:val="004815DC"/>
    <w:rsid w:val="004B143C"/>
    <w:rsid w:val="004C467D"/>
    <w:rsid w:val="004C669A"/>
    <w:rsid w:val="004D24E6"/>
    <w:rsid w:val="004D4105"/>
    <w:rsid w:val="004E04A0"/>
    <w:rsid w:val="005204EC"/>
    <w:rsid w:val="005376F2"/>
    <w:rsid w:val="00537DB4"/>
    <w:rsid w:val="00544684"/>
    <w:rsid w:val="00554EAF"/>
    <w:rsid w:val="005612B8"/>
    <w:rsid w:val="00561342"/>
    <w:rsid w:val="00570FBB"/>
    <w:rsid w:val="00573375"/>
    <w:rsid w:val="00573875"/>
    <w:rsid w:val="0058555A"/>
    <w:rsid w:val="005858B2"/>
    <w:rsid w:val="00585E46"/>
    <w:rsid w:val="00590A25"/>
    <w:rsid w:val="005A10AD"/>
    <w:rsid w:val="005D2414"/>
    <w:rsid w:val="005F3CEB"/>
    <w:rsid w:val="00606D34"/>
    <w:rsid w:val="00607D57"/>
    <w:rsid w:val="006271A5"/>
    <w:rsid w:val="00630385"/>
    <w:rsid w:val="00632A67"/>
    <w:rsid w:val="00632F47"/>
    <w:rsid w:val="0063355E"/>
    <w:rsid w:val="00642B7F"/>
    <w:rsid w:val="006528EE"/>
    <w:rsid w:val="0067468A"/>
    <w:rsid w:val="0067489B"/>
    <w:rsid w:val="006917A8"/>
    <w:rsid w:val="006A7ACA"/>
    <w:rsid w:val="006C24DE"/>
    <w:rsid w:val="006C4DCE"/>
    <w:rsid w:val="006D3FA5"/>
    <w:rsid w:val="006D45E9"/>
    <w:rsid w:val="006E4477"/>
    <w:rsid w:val="006E7D4C"/>
    <w:rsid w:val="006F3ED9"/>
    <w:rsid w:val="00703332"/>
    <w:rsid w:val="007119E2"/>
    <w:rsid w:val="00713E56"/>
    <w:rsid w:val="00714295"/>
    <w:rsid w:val="00714390"/>
    <w:rsid w:val="00737B50"/>
    <w:rsid w:val="0074185C"/>
    <w:rsid w:val="0075114F"/>
    <w:rsid w:val="00775BB4"/>
    <w:rsid w:val="00781641"/>
    <w:rsid w:val="007910AE"/>
    <w:rsid w:val="00791FF4"/>
    <w:rsid w:val="007A7417"/>
    <w:rsid w:val="007C12CD"/>
    <w:rsid w:val="007E495A"/>
    <w:rsid w:val="007E601E"/>
    <w:rsid w:val="007E6AA0"/>
    <w:rsid w:val="00805968"/>
    <w:rsid w:val="0081193D"/>
    <w:rsid w:val="00816F21"/>
    <w:rsid w:val="008322CE"/>
    <w:rsid w:val="0083740B"/>
    <w:rsid w:val="00842156"/>
    <w:rsid w:val="008606E5"/>
    <w:rsid w:val="008621DD"/>
    <w:rsid w:val="008639D0"/>
    <w:rsid w:val="008C482F"/>
    <w:rsid w:val="008C6D62"/>
    <w:rsid w:val="008D436D"/>
    <w:rsid w:val="008E3448"/>
    <w:rsid w:val="008F7296"/>
    <w:rsid w:val="00904234"/>
    <w:rsid w:val="00904E6B"/>
    <w:rsid w:val="009265E2"/>
    <w:rsid w:val="00931E34"/>
    <w:rsid w:val="00937089"/>
    <w:rsid w:val="00941231"/>
    <w:rsid w:val="009501CA"/>
    <w:rsid w:val="00963D28"/>
    <w:rsid w:val="00970ACA"/>
    <w:rsid w:val="00973F42"/>
    <w:rsid w:val="00977B89"/>
    <w:rsid w:val="00983073"/>
    <w:rsid w:val="0098451E"/>
    <w:rsid w:val="00984BA3"/>
    <w:rsid w:val="009B0174"/>
    <w:rsid w:val="009D5E57"/>
    <w:rsid w:val="009F06BB"/>
    <w:rsid w:val="009F39A5"/>
    <w:rsid w:val="00A15392"/>
    <w:rsid w:val="00A173B2"/>
    <w:rsid w:val="00A33529"/>
    <w:rsid w:val="00A35279"/>
    <w:rsid w:val="00A46DCF"/>
    <w:rsid w:val="00A6048F"/>
    <w:rsid w:val="00A73A33"/>
    <w:rsid w:val="00AB4A02"/>
    <w:rsid w:val="00AB6DAA"/>
    <w:rsid w:val="00AC58B9"/>
    <w:rsid w:val="00AC72AA"/>
    <w:rsid w:val="00AD6585"/>
    <w:rsid w:val="00AE25A2"/>
    <w:rsid w:val="00AE4E53"/>
    <w:rsid w:val="00B139CD"/>
    <w:rsid w:val="00B14F86"/>
    <w:rsid w:val="00B20C5A"/>
    <w:rsid w:val="00B27743"/>
    <w:rsid w:val="00B34B4B"/>
    <w:rsid w:val="00B35649"/>
    <w:rsid w:val="00B46A3A"/>
    <w:rsid w:val="00B50145"/>
    <w:rsid w:val="00B50641"/>
    <w:rsid w:val="00B51BE4"/>
    <w:rsid w:val="00B6641E"/>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1EA0"/>
    <w:rsid w:val="00C36842"/>
    <w:rsid w:val="00C42997"/>
    <w:rsid w:val="00C438D5"/>
    <w:rsid w:val="00C4794C"/>
    <w:rsid w:val="00C50253"/>
    <w:rsid w:val="00C5764B"/>
    <w:rsid w:val="00C75E9B"/>
    <w:rsid w:val="00CB1E59"/>
    <w:rsid w:val="00CB636D"/>
    <w:rsid w:val="00CC7274"/>
    <w:rsid w:val="00CD58DA"/>
    <w:rsid w:val="00CE65CF"/>
    <w:rsid w:val="00CF6EFC"/>
    <w:rsid w:val="00D0664B"/>
    <w:rsid w:val="00D2303C"/>
    <w:rsid w:val="00D32210"/>
    <w:rsid w:val="00D36798"/>
    <w:rsid w:val="00D41B4D"/>
    <w:rsid w:val="00D667EC"/>
    <w:rsid w:val="00D679F6"/>
    <w:rsid w:val="00D75A71"/>
    <w:rsid w:val="00D771DB"/>
    <w:rsid w:val="00D81FC3"/>
    <w:rsid w:val="00D8317C"/>
    <w:rsid w:val="00D96C0D"/>
    <w:rsid w:val="00DA2CC1"/>
    <w:rsid w:val="00DC220E"/>
    <w:rsid w:val="00DD6415"/>
    <w:rsid w:val="00DE067B"/>
    <w:rsid w:val="00DE5046"/>
    <w:rsid w:val="00DE68DB"/>
    <w:rsid w:val="00DF5FFB"/>
    <w:rsid w:val="00DF6A72"/>
    <w:rsid w:val="00E03100"/>
    <w:rsid w:val="00E17937"/>
    <w:rsid w:val="00E27051"/>
    <w:rsid w:val="00E27F5C"/>
    <w:rsid w:val="00E30156"/>
    <w:rsid w:val="00E31147"/>
    <w:rsid w:val="00E354D6"/>
    <w:rsid w:val="00E408FC"/>
    <w:rsid w:val="00E72653"/>
    <w:rsid w:val="00E767A7"/>
    <w:rsid w:val="00E906C9"/>
    <w:rsid w:val="00E92947"/>
    <w:rsid w:val="00E97EE7"/>
    <w:rsid w:val="00EA5D67"/>
    <w:rsid w:val="00EB5F4F"/>
    <w:rsid w:val="00EE4829"/>
    <w:rsid w:val="00EE6620"/>
    <w:rsid w:val="00EF0943"/>
    <w:rsid w:val="00EF3B7E"/>
    <w:rsid w:val="00F22A85"/>
    <w:rsid w:val="00F2588B"/>
    <w:rsid w:val="00F34CDC"/>
    <w:rsid w:val="00F51C74"/>
    <w:rsid w:val="00F54C64"/>
    <w:rsid w:val="00F71196"/>
    <w:rsid w:val="00F82A12"/>
    <w:rsid w:val="00FA5306"/>
    <w:rsid w:val="00FA7193"/>
    <w:rsid w:val="00FB3ECF"/>
    <w:rsid w:val="00FC2C13"/>
    <w:rsid w:val="00FC3B7F"/>
    <w:rsid w:val="00FD4884"/>
    <w:rsid w:val="00FD620C"/>
    <w:rsid w:val="00FD6F3B"/>
    <w:rsid w:val="00FE3162"/>
    <w:rsid w:val="00FE6ABE"/>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9BA19"/>
  <w15:chartTrackingRefBased/>
  <w15:docId w15:val="{6BCA7D72-96B5-486E-965D-859F34220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40" w:line="240" w:lineRule="auto"/>
    </w:pPr>
    <w:rPr>
      <w:rFonts w:ascii="Times New Roman" w:eastAsia="Times New Roman" w:hAnsi="Times New Roman" w:cs="Times New Roman"/>
      <w:sz w:val="18"/>
      <w:szCs w:val="24"/>
      <w:lang w:val="en-AU" w:eastAsia="zh-CN"/>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0.emf"/><Relationship Id="rId20" Type="http://schemas.openxmlformats.org/officeDocument/2006/relationships/footer" Target="footer3.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31E4F-0EA0-4619-96D6-910F8C3A2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styled.dotx</Template>
  <TotalTime>63</TotalTime>
  <Pages>1</Pages>
  <Words>1852</Words>
  <Characters>10558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test</cp:lastModifiedBy>
  <cp:revision>19</cp:revision>
  <dcterms:created xsi:type="dcterms:W3CDTF">2023-03-13T14:33:00Z</dcterms:created>
  <dcterms:modified xsi:type="dcterms:W3CDTF">2024-08-10T03:05:00Z</dcterms:modified>
</cp:coreProperties>
</file>