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jc w:val="center"/>
      </w:pPr>
      <w:r>
        <w:rPr>
          <w:rFonts w:ascii="Times New Roman" w:hAnsi="Times New Roman" w:eastAsia="Times New Roman" w:cs="Times New Roman"/>
          <w:b/>
          <w:i w:val="0"/>
          <w:color w:val="000000"/>
          <w:sz w:val="30"/>
        </w:rPr>
        <w:t>DOKUMEN PENDUKUNG</w:t>
      </w:r>
    </w:p>
    <w:p>
      <w:pPr>
        <w:spacing w:after="600"/>
        <w:jc w:val="center"/>
      </w:pPr>
      <w:r>
        <w:rPr>
          <w:rFonts w:ascii="Times New Roman" w:hAnsi="Times New Roman" w:eastAsia="Times New Roman" w:cs="Times New Roman"/>
          <w:b/>
          <w:i w:val="0"/>
          <w:color w:val="000000"/>
          <w:sz w:val="28"/>
        </w:rPr>
        <w:t>GEMASTIK XIX 2026</w:t>
        <w:br/>
        <w:t>PENGEMBANGAN PERANGKAT LUNAK</w:t>
      </w:r>
    </w:p>
    <w:p>
      <w:pPr>
        <w:spacing w:after="200"/>
        <w:jc w:val="center"/>
      </w:pPr>
      <w:r>
        <w:rPr>
          <w:rFonts w:ascii="Times New Roman" w:hAnsi="Times New Roman" w:eastAsia="Times New Roman" w:cs="Times New Roman"/>
          <w:b/>
          <w:i w:val="0"/>
          <w:color w:val="000000"/>
          <w:sz w:val="32"/>
        </w:rPr>
        <w:t>ADOPSI LISENSI PERANGKAT LUNAK</w:t>
      </w:r>
    </w:p>
    <w:p>
      <w:pPr>
        <w:spacing w:after="600"/>
        <w:jc w:val="center"/>
      </w:pPr>
      <w:r>
        <w:rPr>
          <w:rFonts w:ascii="Times New Roman" w:hAnsi="Times New Roman" w:eastAsia="Times New Roman" w:cs="Times New Roman"/>
          <w:b/>
          <w:i w:val="0"/>
          <w:color w:val="000000"/>
          <w:sz w:val="26"/>
        </w:rPr>
        <w:t>MIT License untuk karya asli HAWK-EYE</w:t>
      </w:r>
    </w:p>
    <w:p>
      <w:pPr>
        <w:spacing w:after="80"/>
        <w:jc w:val="center"/>
      </w:pPr>
      <w:r>
        <w:rPr>
          <w:rFonts w:ascii="Times New Roman" w:hAnsi="Times New Roman" w:eastAsia="Times New Roman" w:cs="Times New Roman"/>
          <w:b/>
          <w:i w:val="0"/>
          <w:color w:val="000000"/>
          <w:sz w:val="28"/>
        </w:rPr>
        <w:t>HAWK-EYE — JUDOLGRAPH</w:t>
      </w:r>
    </w:p>
    <w:p>
      <w:pPr>
        <w:jc w:val="center"/>
      </w:pPr>
      <w:r>
        <w:rPr>
          <w:rFonts w:ascii="Times New Roman" w:hAnsi="Times New Roman" w:eastAsia="Times New Roman" w:cs="Times New Roman"/>
          <w:b w:val="0"/>
          <w:i w:val="0"/>
          <w:color w:val="000000"/>
          <w:sz w:val="24"/>
        </w:rPr>
        <w:t>Alat Investigasi Ekosistem Judi Online</w:t>
      </w:r>
    </w:p>
    <w:p/>
    <w:p/>
    <w:p/>
    <w:p/>
    <w:p/>
    <w:p>
      <w:pPr>
        <w:spacing w:after="80"/>
        <w:jc w:val="center"/>
      </w:pPr>
      <w:r>
        <w:rPr>
          <w:rFonts w:ascii="Times New Roman" w:hAnsi="Times New Roman" w:eastAsia="Times New Roman" w:cs="Times New Roman"/>
          <w:b/>
          <w:i w:val="0"/>
          <w:color w:val="000000"/>
          <w:sz w:val="28"/>
        </w:rPr>
        <w:t>UNIVERSITAS DIPONEGORO</w:t>
      </w:r>
    </w:p>
    <w:p>
      <w:pPr>
        <w:jc w:val="center"/>
      </w:pPr>
      <w:r>
        <w:rPr>
          <w:rFonts w:ascii="Times New Roman" w:hAnsi="Times New Roman" w:eastAsia="Times New Roman" w:cs="Times New Roman"/>
          <w:b/>
          <w:i w:val="0"/>
          <w:color w:val="000000"/>
          <w:sz w:val="28"/>
        </w:rPr>
        <w:t>2026</w:t>
      </w:r>
    </w:p>
    <w:p>
      <w:pPr>
        <w:sectPr>
          <w:headerReference w:type="default" r:id="rId11"/>
          <w:footerReference w:type="default" r:id="rId12"/>
          <w:pgSz w:w="11906" w:h="16838"/>
          <w:pgMar w:top="1417" w:right="1417" w:bottom="1417" w:left="1417" w:header="709" w:footer="709" w:gutter="0"/>
          <w:cols w:space="720"/>
          <w:docGrid w:linePitch="360"/>
        </w:sectPr>
      </w:pPr>
    </w:p>
    <w:p>
      <w:pPr>
        <w:pStyle w:val="Heading1"/>
      </w:pPr>
      <w:r>
        <w:rPr>
          <w:rFonts w:ascii="Times New Roman" w:hAnsi="Times New Roman" w:eastAsia="Times New Roman" w:cs="Times New Roman"/>
          <w:b w:val="0"/>
          <w:i w:val="0"/>
          <w:color w:val="000000"/>
          <w:sz w:val="24"/>
        </w:rPr>
        <w:t>1. Pengertian dan Dasar Adopsi Lisensi</w:t>
      </w:r>
    </w:p>
    <w:p>
      <w:pPr>
        <w:spacing w:line="360" w:lineRule="auto" w:after="0"/>
        <w:ind w:firstLine="425"/>
        <w:jc w:val="both"/>
      </w:pPr>
      <w:r>
        <w:rPr>
          <w:rFonts w:ascii="Times New Roman" w:hAnsi="Times New Roman" w:eastAsia="Times New Roman" w:cs="Times New Roman"/>
          <w:b w:val="0"/>
          <w:i w:val="0"/>
          <w:color w:val="000000"/>
          <w:sz w:val="24"/>
        </w:rPr>
        <w:t>Lisensi perangkat lunak adalah ketentuan yang mengatur hak dan kewajiban dalam menggunakan, menyalin, memodifikasi, dan mendistribusikan perangkat lunak. Lisensi diperlukan agar pengguna mengetahui tindakan yang diizinkan, syarat yang harus dipenuhi, serta batas tanggung jawab pemegang hak cipta.</w:t>
      </w:r>
    </w:p>
    <w:p>
      <w:pPr>
        <w:spacing w:line="360" w:lineRule="auto" w:after="0"/>
        <w:ind w:firstLine="425"/>
        <w:jc w:val="both"/>
      </w:pPr>
      <w:r>
        <w:rPr>
          <w:rFonts w:ascii="Times New Roman" w:hAnsi="Times New Roman" w:eastAsia="Times New Roman" w:cs="Times New Roman"/>
          <w:b w:val="0"/>
          <w:i w:val="0"/>
          <w:color w:val="000000"/>
          <w:sz w:val="24"/>
        </w:rPr>
        <w:t>Pada HAWK-EYE, adopsi lisensi juga membedakan karya asli tim dari library, runtime, font, ikon, browser, data, dan materi pihak ketiga. Lisensi proyek hanya berlaku pada bagian yang haknya dimiliki kontributor HAWK-EYE. Komponen pihak ketiga tetap mengikuti lisensi sumbernya masing-masing.</w:t>
      </w:r>
    </w:p>
    <w:p>
      <w:pPr>
        <w:pStyle w:val="Heading1"/>
      </w:pPr>
      <w:r>
        <w:rPr>
          <w:rFonts w:ascii="Times New Roman" w:hAnsi="Times New Roman" w:eastAsia="Times New Roman" w:cs="Times New Roman"/>
          <w:b w:val="0"/>
          <w:i w:val="0"/>
          <w:color w:val="000000"/>
          <w:sz w:val="24"/>
        </w:rPr>
        <w:t>2. Identitas Perangkat Lunak</w:t>
      </w:r>
    </w:p>
    <w:tbl>
      <w:tblPr>
        <w:tblW w:type="auto" w:w="0"/>
        <w:jc w:val="left"/>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381"/>
        <w:gridCol w:w="6803"/>
      </w:tblGrid>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Nama perangkat lunak</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HAWK-EYE — JudolGraph</w:t>
            </w:r>
          </w:p>
        </w:tc>
      </w:tr>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Versi</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1.0.0</w:t>
            </w:r>
          </w:p>
        </w:tc>
      </w:tr>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Tim pengembang</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Tim Ajarin Kami Sepuh dari Universitas Diponegoro</w:t>
            </w:r>
          </w:p>
        </w:tc>
      </w:tr>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Anggota</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Muchammad Yuda Tri Ananda; Olivia Oktaviani; Syifa Aeni Mudrikah</w:t>
            </w:r>
          </w:p>
        </w:tc>
      </w:tr>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Perguruan tinggi</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Universitas Diponegoro</w:t>
            </w:r>
          </w:p>
        </w:tc>
      </w:tr>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Repositori sumber</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https://github.com/myudak/hawkeye-judolgraph</w:t>
            </w:r>
          </w:p>
        </w:tc>
      </w:tr>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Rilis yang dicakup</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v1.0.0 — commit 20beb0cd0062fcf986a16c75d07290a7cbb82048</w:t>
            </w:r>
          </w:p>
        </w:tc>
      </w:tr>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Lisensi yang diadopsi</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MIT License</w:t>
            </w:r>
          </w:p>
        </w:tc>
      </w:tr>
      <w:tr>
        <w:tc>
          <w:tcPr>
            <w:tcW w:type="dxa" w:w="2381"/>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i w:val="0"/>
                <w:color w:val="000000"/>
                <w:sz w:val="22"/>
              </w:rPr>
              <w:t>Tanggal berlaku</w:t>
            </w:r>
          </w:p>
        </w:tc>
        <w:tc>
          <w:tcPr>
            <w:tcW w:type="dxa" w:w="6803"/>
            <w:vAlign w:val="top"/>
            <w:shd w:fill="FFFFFF"/>
            <w:tcMar>
              <w:top w:w="70" w:type="dxa"/>
              <w:start w:w="90" w:type="dxa"/>
              <w:bottom w:w="70" w:type="dxa"/>
              <w:end w:w="90" w:type="dxa"/>
            </w:tcMar>
          </w:tcPr>
          <w:p>
            <w:pPr>
              <w:ind w:firstLine="0"/>
              <w:jc w:val="left"/>
            </w:pPr>
            <w:r>
              <w:rPr>
                <w:rFonts w:ascii="Times New Roman" w:hAnsi="Times New Roman" w:eastAsia="Times New Roman" w:cs="Times New Roman"/>
                <w:b w:val="0"/>
                <w:i w:val="0"/>
                <w:color w:val="000000"/>
                <w:sz w:val="22"/>
              </w:rPr>
              <w:t>13 Agustus 2026</w:t>
            </w:r>
          </w:p>
        </w:tc>
      </w:tr>
    </w:tbl>
    <w:p/>
    <w:p>
      <w:pPr>
        <w:pStyle w:val="Heading1"/>
      </w:pPr>
      <w:r>
        <w:rPr>
          <w:rFonts w:ascii="Times New Roman" w:hAnsi="Times New Roman" w:eastAsia="Times New Roman" w:cs="Times New Roman"/>
          <w:b w:val="0"/>
          <w:i w:val="0"/>
          <w:color w:val="000000"/>
          <w:sz w:val="24"/>
        </w:rPr>
        <w:t>3. Lisensi yang Diadopsi</w:t>
      </w:r>
    </w:p>
    <w:p>
      <w:pPr>
        <w:spacing w:line="360" w:lineRule="auto" w:after="0"/>
        <w:ind w:firstLine="425"/>
        <w:jc w:val="both"/>
      </w:pPr>
      <w:r>
        <w:rPr>
          <w:rFonts w:ascii="Times New Roman" w:hAnsi="Times New Roman" w:eastAsia="Times New Roman" w:cs="Times New Roman"/>
          <w:b w:val="0"/>
          <w:i w:val="0"/>
          <w:color w:val="000000"/>
          <w:sz w:val="24"/>
        </w:rPr>
        <w:t>HAWK-EYE versi 1.0.0 mengadopsi MIT License untuk kode sumber, dokumentasi, komponen antarmuka, pengujian, dan materi proyek lain yang merupakan karya asli kontributor HAWK-EYE. Pemberitahuan hak cipta pada lisensi menggunakan istilah “HAWK-EYE contributors”. Dalam versi kompetisi ini, istilah tersebut mencakup anggota Tim Ajarin Kami Sepuh serta kontributor lain atas kontribusi asli yang haknya mereka miliki.</w:t>
      </w:r>
    </w:p>
    <w:p>
      <w:pPr>
        <w:pStyle w:val="Heading2"/>
      </w:pPr>
      <w:r>
        <w:rPr>
          <w:rFonts w:ascii="Times New Roman" w:hAnsi="Times New Roman" w:eastAsia="Times New Roman" w:cs="Times New Roman"/>
          <w:b w:val="0"/>
          <w:i w:val="0"/>
          <w:color w:val="000000"/>
          <w:sz w:val="24"/>
        </w:rPr>
        <w:t>3.1 Alasan Pemilihan MIT License</w:t>
      </w:r>
    </w:p>
    <w:p>
      <w:pPr>
        <w:spacing w:line="360" w:lineRule="auto" w:after="0"/>
        <w:ind w:firstLine="425"/>
        <w:jc w:val="both"/>
      </w:pPr>
      <w:r>
        <w:rPr>
          <w:rFonts w:ascii="Times New Roman" w:hAnsi="Times New Roman" w:eastAsia="Times New Roman" w:cs="Times New Roman"/>
          <w:b w:val="0"/>
          <w:i w:val="0"/>
          <w:color w:val="000000"/>
          <w:sz w:val="24"/>
        </w:rPr>
        <w:t>MIT License dipilih karena bersifat permisif dan memiliki persyaratan redistribusi yang ringkas. Pengguna dapat mempelajari, menggunakan, memodifikasi, dan mendistribusikan kembali karya asli HAWK-EYE selama pemberitahuan hak cipta dan teks izin dipertahankan. Ketentuan ini mendukung pemeriksaan terbuka terhadap cara sistem mengumpulkan, menyimpan, dan menampilkan bukti.</w:t>
      </w:r>
    </w:p>
    <w:p>
      <w:pPr>
        <w:spacing w:line="360" w:lineRule="auto" w:after="0"/>
        <w:ind w:firstLine="425"/>
        <w:jc w:val="both"/>
      </w:pPr>
      <w:r>
        <w:rPr>
          <w:rFonts w:ascii="Times New Roman" w:hAnsi="Times New Roman" w:eastAsia="Times New Roman" w:cs="Times New Roman"/>
          <w:b w:val="0"/>
          <w:i w:val="0"/>
          <w:color w:val="000000"/>
          <w:sz w:val="24"/>
        </w:rPr>
        <w:t>Adopsi MIT tidak melisensikan ulang komponen pihak ketiga. Setiap dependensi tetap menggunakan lisensi upstream sehingga hak dan kewajibannya dapat diperiksa secara terpisah.</w:t>
      </w:r>
    </w:p>
    <w:p>
      <w:pPr>
        <w:pStyle w:val="Heading2"/>
      </w:pPr>
      <w:r>
        <w:rPr>
          <w:rFonts w:ascii="Times New Roman" w:hAnsi="Times New Roman" w:eastAsia="Times New Roman" w:cs="Times New Roman"/>
          <w:b w:val="0"/>
          <w:i w:val="0"/>
          <w:color w:val="000000"/>
          <w:sz w:val="24"/>
        </w:rPr>
        <w:t>3.2 Ringkasan Hak dan Kewajiban</w:t>
      </w:r>
    </w:p>
    <w:p>
      <w:pPr>
        <w:pStyle w:val="Caption"/>
        <w:keepNext/>
      </w:pPr>
      <w:r>
        <w:rPr>
          <w:rFonts w:ascii="Times New Roman" w:hAnsi="Times New Roman" w:eastAsia="Times New Roman" w:cs="Times New Roman"/>
          <w:b w:val="0"/>
          <w:i/>
          <w:color w:val="000000"/>
          <w:sz w:val="22"/>
        </w:rPr>
        <w:t>Tabel 1. Ringkasan MIT License yang diadopsi</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36"/>
        <w:gridCol w:w="4536"/>
      </w:tblGrid>
      <w:tr>
        <w:trPr>
          <w:tblHeader w:val="true"/>
          <w:cantSplit/>
        </w:trPr>
        <w:tc>
          <w:tcPr>
            <w:tcW w:type="dxa" w:w="2381"/>
            <w:vAlign w:val="center"/>
            <w:shd w:fill="FFFFFF"/>
            <w:tcMar>
              <w:top w:w="70" w:type="dxa"/>
              <w:start w:w="90" w:type="dxa"/>
              <w:bottom w:w="70" w:type="dxa"/>
              <w:end w:w="90" w:type="dxa"/>
            </w:tcMar>
          </w:tcPr>
          <w:p>
            <w:pPr>
              <w:jc w:val="center"/>
            </w:pPr>
            <w:r>
              <w:rPr>
                <w:rFonts w:ascii="Times New Roman" w:hAnsi="Times New Roman" w:eastAsia="Times New Roman" w:cs="Times New Roman"/>
                <w:b/>
                <w:i w:val="0"/>
                <w:color w:val="000000"/>
                <w:sz w:val="21"/>
              </w:rPr>
              <w:t>Aspek</w:t>
            </w:r>
          </w:p>
        </w:tc>
        <w:tc>
          <w:tcPr>
            <w:tcW w:type="dxa" w:w="6973"/>
            <w:vAlign w:val="center"/>
            <w:shd w:fill="FFFFFF"/>
            <w:tcMar>
              <w:top w:w="70" w:type="dxa"/>
              <w:start w:w="90" w:type="dxa"/>
              <w:bottom w:w="70" w:type="dxa"/>
              <w:end w:w="90" w:type="dxa"/>
            </w:tcMar>
          </w:tcPr>
          <w:p>
            <w:pPr>
              <w:jc w:val="center"/>
            </w:pPr>
            <w:r>
              <w:rPr>
                <w:rFonts w:ascii="Times New Roman" w:hAnsi="Times New Roman" w:eastAsia="Times New Roman" w:cs="Times New Roman"/>
                <w:b/>
                <w:i w:val="0"/>
                <w:color w:val="000000"/>
                <w:sz w:val="21"/>
              </w:rPr>
              <w:t>Ketentuan</w:t>
            </w:r>
          </w:p>
        </w:tc>
      </w:tr>
      <w:tr>
        <w:trPr>
          <w:cantSplit/>
        </w:trPr>
        <w:tc>
          <w:tcPr>
            <w:tcW w:type="dxa" w:w="2381"/>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Hak utama</w:t>
            </w:r>
          </w:p>
        </w:tc>
        <w:tc>
          <w:tcPr>
            <w:tcW w:type="dxa" w:w="6973"/>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Menggunakan, menyalin, mengubah, menggabungkan, menerbitkan, mendistribusikan, mensublisensikan, dan menjual salinan karya asli HAWK-EYE.</w:t>
            </w:r>
          </w:p>
        </w:tc>
      </w:tr>
      <w:tr>
        <w:trPr>
          <w:cantSplit/>
        </w:trPr>
        <w:tc>
          <w:tcPr>
            <w:tcW w:type="dxa" w:w="2381"/>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Kewajiban utama</w:t>
            </w:r>
          </w:p>
        </w:tc>
        <w:tc>
          <w:tcPr>
            <w:tcW w:type="dxa" w:w="6973"/>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Mempertahankan pemberitahuan hak cipta dan teks izin MIT pada seluruh salinan atau bagian substansial perangkat lunak.</w:t>
            </w:r>
          </w:p>
        </w:tc>
      </w:tr>
      <w:tr>
        <w:trPr>
          <w:cantSplit/>
        </w:trPr>
        <w:tc>
          <w:tcPr>
            <w:tcW w:type="dxa" w:w="2381"/>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Jaminan</w:t>
            </w:r>
          </w:p>
        </w:tc>
        <w:tc>
          <w:tcPr>
            <w:tcW w:type="dxa" w:w="6973"/>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Tidak ada. Perangkat lunak diberikan sebagaimana adanya tanpa jaminan tersurat maupun tersirat.</w:t>
            </w:r>
          </w:p>
        </w:tc>
      </w:tr>
      <w:tr>
        <w:trPr>
          <w:cantSplit/>
        </w:trPr>
        <w:tc>
          <w:tcPr>
            <w:tcW w:type="dxa" w:w="2381"/>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Tanggung jawab</w:t>
            </w:r>
          </w:p>
        </w:tc>
        <w:tc>
          <w:tcPr>
            <w:tcW w:type="dxa" w:w="6973"/>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Pemegang hak cipta tidak bertanggung jawab atas klaim atau kerugian yang timbul dari penggunaan perangkat lunak sejauh dinyatakan dalam teks lisensi.</w:t>
            </w:r>
          </w:p>
        </w:tc>
      </w:tr>
    </w:tbl>
    <w:p>
      <w:pPr>
        <w:pStyle w:val="Heading1"/>
      </w:pPr>
      <w:r>
        <w:rPr>
          <w:rFonts w:ascii="Times New Roman" w:hAnsi="Times New Roman" w:eastAsia="Times New Roman" w:cs="Times New Roman"/>
          <w:b w:val="0"/>
          <w:i w:val="0"/>
          <w:color w:val="000000"/>
          <w:sz w:val="24"/>
        </w:rPr>
        <w:t>4. Cakupan Karya Asli</w:t>
      </w:r>
    </w:p>
    <w:p>
      <w:pPr>
        <w:spacing w:line="360" w:lineRule="auto" w:after="0"/>
        <w:ind w:firstLine="425"/>
        <w:jc w:val="both"/>
      </w:pPr>
      <w:r>
        <w:rPr>
          <w:rFonts w:ascii="Times New Roman" w:hAnsi="Times New Roman" w:eastAsia="Times New Roman" w:cs="Times New Roman"/>
          <w:b w:val="0"/>
          <w:i w:val="0"/>
          <w:color w:val="000000"/>
          <w:sz w:val="24"/>
        </w:rPr>
        <w:t>Lisensi MIT mencakup bagian yang haknya dimiliki kontributor HAWK-EYE, yaitu:</w:t>
      </w:r>
    </w:p>
    <w:p>
      <w:pPr>
        <w:spacing w:line="360" w:lineRule="auto"/>
        <w:ind w:left="425" w:hanging="255"/>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backend Python untuk collector, ekstraksi, model runtime terbatas, penyimpanan, API lokal, dan ekspor kasus;</w:t>
      </w:r>
    </w:p>
    <w:p>
      <w:pPr>
        <w:spacing w:line="360" w:lineRule="auto"/>
        <w:ind w:left="425" w:hanging="255"/>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aplikasi web React untuk pengelolaan kasus, evidence graph, inspector bukti, timeline, review, dan ringkasan;</w:t>
      </w:r>
    </w:p>
    <w:p>
      <w:pPr>
        <w:spacing w:line="360" w:lineRule="auto"/>
        <w:ind w:left="425" w:hanging="255"/>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situs presentasi Astro dan demonstrasi dengan data terkendali;</w:t>
      </w:r>
    </w:p>
    <w:p>
      <w:pPr>
        <w:spacing w:line="360" w:lineRule="auto"/>
        <w:ind w:left="425" w:hanging="255"/>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package internal untuk brand, desain, graph, dan komponen antarmuka bersama;</w:t>
      </w:r>
    </w:p>
    <w:p>
      <w:pPr>
        <w:spacing w:line="360" w:lineRule="auto"/>
        <w:ind w:left="425" w:hanging="255"/>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val="0"/>
          <w:color w:val="000000"/>
          <w:sz w:val="24"/>
        </w:rPr>
        <w:t>skrip build, evaluasi, pengujian, fixture sintetik, serta dokumentasi yang dibuat oleh tim.</w:t>
      </w:r>
    </w:p>
    <w:p>
      <w:pPr>
        <w:pStyle w:val="Heading1"/>
      </w:pPr>
      <w:r>
        <w:rPr>
          <w:rFonts w:ascii="Times New Roman" w:hAnsi="Times New Roman" w:eastAsia="Times New Roman" w:cs="Times New Roman"/>
          <w:b w:val="0"/>
          <w:i w:val="0"/>
          <w:color w:val="000000"/>
          <w:sz w:val="24"/>
        </w:rPr>
        <w:t>5. Komponen Pihak Ketiga</w:t>
      </w:r>
    </w:p>
    <w:p>
      <w:pPr>
        <w:spacing w:line="360" w:lineRule="auto" w:after="0"/>
        <w:ind w:firstLine="425"/>
        <w:jc w:val="both"/>
      </w:pPr>
      <w:r>
        <w:rPr>
          <w:rFonts w:ascii="Times New Roman" w:hAnsi="Times New Roman" w:eastAsia="Times New Roman" w:cs="Times New Roman"/>
          <w:b w:val="0"/>
          <w:i w:val="0"/>
          <w:color w:val="000000"/>
          <w:sz w:val="24"/>
        </w:rPr>
        <w:t>MIT License HAWK-EYE tidak mengubah lisensi library, font, ikon, runtime, browser, tool build, data, logo, atau materi lain yang haknya dimiliki pihak ketiga. Setiap komponen tetap tunduk pada ketentuan upstream masing-masing.</w:t>
      </w:r>
    </w:p>
    <w:p>
      <w:pPr>
        <w:pStyle w:val="Caption"/>
        <w:keepNext/>
      </w:pPr>
      <w:r>
        <w:rPr>
          <w:rFonts w:ascii="Times New Roman" w:hAnsi="Times New Roman" w:eastAsia="Times New Roman" w:cs="Times New Roman"/>
          <w:b w:val="0"/>
          <w:i/>
          <w:color w:val="000000"/>
          <w:sz w:val="22"/>
        </w:rPr>
        <w:t>Tabel 2. Kelompok komponen pihak ketiga dan perlakuan lisensinya</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536"/>
        <w:gridCol w:w="4536"/>
      </w:tblGrid>
      <w:tr>
        <w:trPr>
          <w:tblHeader w:val="true"/>
          <w:cantSplit/>
        </w:trPr>
        <w:tc>
          <w:tcPr>
            <w:tcW w:type="dxa" w:w="2608"/>
            <w:vAlign w:val="center"/>
            <w:shd w:fill="FFFFFF"/>
            <w:tcMar>
              <w:top w:w="70" w:type="dxa"/>
              <w:start w:w="90" w:type="dxa"/>
              <w:bottom w:w="70" w:type="dxa"/>
              <w:end w:w="90" w:type="dxa"/>
            </w:tcMar>
          </w:tcPr>
          <w:p>
            <w:pPr>
              <w:jc w:val="center"/>
            </w:pPr>
            <w:r>
              <w:rPr>
                <w:rFonts w:ascii="Times New Roman" w:hAnsi="Times New Roman" w:eastAsia="Times New Roman" w:cs="Times New Roman"/>
                <w:b/>
                <w:i w:val="0"/>
                <w:color w:val="000000"/>
                <w:sz w:val="21"/>
              </w:rPr>
              <w:t>Kelompok</w:t>
            </w:r>
          </w:p>
        </w:tc>
        <w:tc>
          <w:tcPr>
            <w:tcW w:type="dxa" w:w="6746"/>
            <w:vAlign w:val="center"/>
            <w:shd w:fill="FFFFFF"/>
            <w:tcMar>
              <w:top w:w="70" w:type="dxa"/>
              <w:start w:w="90" w:type="dxa"/>
              <w:bottom w:w="70" w:type="dxa"/>
              <w:end w:w="90" w:type="dxa"/>
            </w:tcMar>
          </w:tcPr>
          <w:p>
            <w:pPr>
              <w:jc w:val="center"/>
            </w:pPr>
            <w:r>
              <w:rPr>
                <w:rFonts w:ascii="Times New Roman" w:hAnsi="Times New Roman" w:eastAsia="Times New Roman" w:cs="Times New Roman"/>
                <w:b/>
                <w:i w:val="0"/>
                <w:color w:val="000000"/>
                <w:sz w:val="21"/>
              </w:rPr>
              <w:t>Ketentuan</w:t>
            </w:r>
          </w:p>
        </w:tc>
      </w:tr>
      <w:tr>
        <w:trPr>
          <w:cantSplit/>
        </w:trPr>
        <w:tc>
          <w:tcPr>
            <w:tcW w:type="dxa" w:w="260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Library dan framework</w:t>
            </w:r>
          </w:p>
        </w:tc>
        <w:tc>
          <w:tcPr>
            <w:tcW w:type="dxa" w:w="6746"/>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FastAPI, Playwright, React, Astro, Tailwind CSS, Base UI, dan dependensi lain tetap menggunakan lisensi MIT, Apache, BSD, atau lisensi upstream masing-masing.</w:t>
            </w:r>
          </w:p>
        </w:tc>
      </w:tr>
      <w:tr>
        <w:trPr>
          <w:cantSplit/>
        </w:trPr>
        <w:tc>
          <w:tcPr>
            <w:tcW w:type="dxa" w:w="260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Font dan ikon</w:t>
            </w:r>
          </w:p>
        </w:tc>
        <w:tc>
          <w:tcPr>
            <w:tcW w:type="dxa" w:w="6746"/>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Fontsource menggunakan OFL-1.1; ikon dan aset eksternal tetap menggunakan lisensi sumbernya. Nama dan merek yang dilindungi tidak dialihkan kepada proyek.</w:t>
            </w:r>
          </w:p>
        </w:tc>
      </w:tr>
      <w:tr>
        <w:trPr>
          <w:cantSplit/>
        </w:trPr>
        <w:tc>
          <w:tcPr>
            <w:tcW w:type="dxa" w:w="260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Browser dan runtime</w:t>
            </w:r>
          </w:p>
        </w:tc>
        <w:tc>
          <w:tcPr>
            <w:tcW w:type="dxa" w:w="6746"/>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Chromium membawa BSD-3-Clause dan banyak third-party notices; Python membawa PSF License; SQLite berada pada public domain.</w:t>
            </w:r>
          </w:p>
        </w:tc>
      </w:tr>
      <w:tr>
        <w:trPr>
          <w:cantSplit/>
        </w:trPr>
        <w:tc>
          <w:tcPr>
            <w:tcW w:type="dxa" w:w="260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Toolchain Windows</w:t>
            </w:r>
          </w:p>
        </w:tc>
        <w:tc>
          <w:tcPr>
            <w:tcW w:type="dxa" w:w="6746"/>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Pengecualian bootloader PyInstaller dan kewajiban LGPL pystray dipertahankan pada distribusi yang menggunakannya.</w:t>
            </w:r>
          </w:p>
        </w:tc>
      </w:tr>
      <w:tr>
        <w:trPr>
          <w:cantSplit/>
        </w:trPr>
        <w:tc>
          <w:tcPr>
            <w:tcW w:type="dxa" w:w="260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OCR opsional</w:t>
            </w:r>
          </w:p>
        </w:tc>
        <w:tc>
          <w:tcPr>
            <w:tcW w:type="dxa" w:w="6746"/>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Tesseract menggunakan Apache-2.0 dan hanya dicantumkan sebagai komponen terdistribusi jika benar-benar disertakan dalam build.</w:t>
            </w:r>
          </w:p>
        </w:tc>
      </w:tr>
      <w:tr>
        <w:trPr>
          <w:cantSplit/>
        </w:trPr>
        <w:tc>
          <w:tcPr>
            <w:tcW w:type="dxa" w:w="260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Artefak koleksi</w:t>
            </w:r>
          </w:p>
        </w:tc>
        <w:tc>
          <w:tcPr>
            <w:tcW w:type="dxa" w:w="6746"/>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21"/>
              </w:rPr>
              <w:t>HTML, tangkapan layar, metadata, dan materi yang dikumpulkan dari web tidak menjadi karya MIT HAWK-EYE. Hak dan ketentuan sumber tetap berlaku.</w:t>
            </w:r>
          </w:p>
        </w:tc>
      </w:tr>
    </w:tbl>
    <w:p>
      <w:pPr>
        <w:pStyle w:val="Heading1"/>
      </w:pPr>
      <w:r>
        <w:rPr>
          <w:rFonts w:ascii="Times New Roman" w:hAnsi="Times New Roman" w:eastAsia="Times New Roman" w:cs="Times New Roman"/>
          <w:b w:val="0"/>
          <w:i w:val="0"/>
          <w:color w:val="000000"/>
          <w:sz w:val="24"/>
        </w:rPr>
        <w:t>6. Penerapan pada Distribusi</w:t>
      </w:r>
    </w:p>
    <w:p>
      <w:pPr>
        <w:spacing w:line="360" w:lineRule="auto" w:after="0"/>
        <w:ind w:firstLine="425"/>
        <w:jc w:val="both"/>
      </w:pPr>
      <w:r>
        <w:rPr>
          <w:rFonts w:ascii="Times New Roman" w:hAnsi="Times New Roman" w:eastAsia="Times New Roman" w:cs="Times New Roman"/>
          <w:b w:val="0"/>
          <w:i w:val="0"/>
          <w:color w:val="000000"/>
          <w:sz w:val="24"/>
        </w:rPr>
        <w:t>Penerapan lisensi dilakukan pada repositori sumber dan setiap format distribusi HAWK-EYE, termasuk source, wheel, container, portable ZIP, dan installer Windows. Setiap rilis mengikuti ketentuan berikut:</w:t>
      </w:r>
    </w:p>
    <w:p>
      <w:pPr>
        <w:spacing w:line="360" w:lineRule="auto"/>
        <w:ind w:left="510" w:hanging="369"/>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val="0"/>
          <w:i w:val="0"/>
          <w:color w:val="000000"/>
          <w:sz w:val="24"/>
        </w:rPr>
        <w:t>Teks MIT License dan pemberitahuan hak cipta HAWK-EYE disertakan pada salinan atau bagian substansial perangkat lunak.</w:t>
      </w:r>
    </w:p>
    <w:p>
      <w:pPr>
        <w:spacing w:line="360" w:lineRule="auto"/>
        <w:ind w:left="510" w:hanging="369"/>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val="0"/>
          <w:i w:val="0"/>
          <w:color w:val="000000"/>
          <w:sz w:val="24"/>
        </w:rPr>
        <w:t>Lisensi dan notice pihak ketiga yang berlaku disertakan sesuai komponen yang benar-benar terdapat dalam artefak distribusi.</w:t>
      </w:r>
    </w:p>
    <w:p>
      <w:pPr>
        <w:spacing w:line="360" w:lineRule="auto"/>
        <w:ind w:left="510" w:hanging="369"/>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val="0"/>
          <w:i w:val="0"/>
          <w:color w:val="000000"/>
          <w:sz w:val="24"/>
        </w:rPr>
        <w:t>Kewajiban OFL, LGPL, MPL, Apache, BSD, Creative Commons, PSF, dan lisensi toolchain khusus dipertahankan secara independen.</w:t>
      </w:r>
    </w:p>
    <w:p>
      <w:pPr>
        <w:spacing w:line="360" w:lineRule="auto"/>
        <w:ind w:left="510" w:hanging="369"/>
      </w:pPr>
      <w:r>
        <w:rPr>
          <w:rFonts w:ascii="Times New Roman" w:hAnsi="Times New Roman" w:eastAsia="Times New Roman" w:cs="Times New Roman"/>
          <w:b w:val="0"/>
          <w:i w:val="0"/>
          <w:color w:val="000000"/>
          <w:sz w:val="24"/>
        </w:rPr>
        <w:t xml:space="preserve">4. </w:t>
      </w:r>
      <w:r>
        <w:rPr>
          <w:rFonts w:ascii="Times New Roman" w:hAnsi="Times New Roman" w:eastAsia="Times New Roman" w:cs="Times New Roman"/>
          <w:b w:val="0"/>
          <w:i w:val="0"/>
          <w:color w:val="000000"/>
          <w:sz w:val="24"/>
        </w:rPr>
        <w:t>Komponen, logo, merek, dan materi pihak ketiga tidak diklaim sebagai karya asli HAWK-EYE.</w:t>
      </w:r>
    </w:p>
    <w:p>
      <w:pPr>
        <w:spacing w:line="360" w:lineRule="auto"/>
        <w:ind w:left="510" w:hanging="369"/>
      </w:pPr>
      <w:r>
        <w:rPr>
          <w:rFonts w:ascii="Times New Roman" w:hAnsi="Times New Roman" w:eastAsia="Times New Roman" w:cs="Times New Roman"/>
          <w:b w:val="0"/>
          <w:i w:val="0"/>
          <w:color w:val="000000"/>
          <w:sz w:val="24"/>
        </w:rPr>
        <w:t xml:space="preserve">5. </w:t>
      </w:r>
      <w:r>
        <w:rPr>
          <w:rFonts w:ascii="Times New Roman" w:hAnsi="Times New Roman" w:eastAsia="Times New Roman" w:cs="Times New Roman"/>
          <w:b w:val="0"/>
          <w:i w:val="0"/>
          <w:color w:val="000000"/>
          <w:sz w:val="24"/>
        </w:rPr>
        <w:t>Perubahan pada dependensi, browser bundle, font, OCR, atau toolchain memicu audit lisensi baru sebelum rilis.</w:t>
      </w:r>
    </w:p>
    <w:p>
      <w:pPr>
        <w:spacing w:line="360" w:lineRule="auto"/>
        <w:ind w:left="510" w:hanging="369"/>
      </w:pPr>
      <w:r>
        <w:rPr>
          <w:rFonts w:ascii="Times New Roman" w:hAnsi="Times New Roman" w:eastAsia="Times New Roman" w:cs="Times New Roman"/>
          <w:b w:val="0"/>
          <w:i w:val="0"/>
          <w:color w:val="000000"/>
          <w:sz w:val="24"/>
        </w:rPr>
        <w:t xml:space="preserve">6. </w:t>
      </w:r>
      <w:r>
        <w:rPr>
          <w:rFonts w:ascii="Times New Roman" w:hAnsi="Times New Roman" w:eastAsia="Times New Roman" w:cs="Times New Roman"/>
          <w:b w:val="0"/>
          <w:i w:val="0"/>
          <w:color w:val="000000"/>
          <w:sz w:val="24"/>
        </w:rPr>
        <w:t>Versi dan hash SHA-256 artefak dicatat agar paket yang diaudit dapat dibedakan dari build lain.</w:t>
      </w:r>
    </w:p>
    <w:p>
      <w:pPr>
        <w:pStyle w:val="Heading1"/>
      </w:pPr>
      <w:r>
        <w:rPr>
          <w:rFonts w:ascii="Times New Roman" w:hAnsi="Times New Roman" w:eastAsia="Times New Roman" w:cs="Times New Roman"/>
          <w:b w:val="0"/>
          <w:i w:val="0"/>
          <w:color w:val="000000"/>
          <w:sz w:val="24"/>
        </w:rPr>
        <w:t>7. Bukti Penerapan</w:t>
      </w:r>
    </w:p>
    <w:p>
      <w:pPr>
        <w:spacing w:line="360" w:lineRule="auto" w:after="0"/>
        <w:ind w:firstLine="425"/>
        <w:jc w:val="both"/>
      </w:pPr>
      <w:r>
        <w:rPr>
          <w:rFonts w:ascii="Times New Roman" w:hAnsi="Times New Roman" w:eastAsia="Times New Roman" w:cs="Times New Roman"/>
          <w:b w:val="0"/>
          <w:i w:val="0"/>
          <w:color w:val="000000"/>
          <w:sz w:val="24"/>
        </w:rPr>
        <w:t>Adopsi lisensi dapat diperiksa melalui berkas dan metadata pada rilis v1.0.0. Tabel berikut menunjukkan bukti, lokasi, dan fungsi setiap bukti.</w:t>
      </w:r>
    </w:p>
    <w:p>
      <w:pPr>
        <w:pStyle w:val="Caption"/>
        <w:keepNext/>
      </w:pPr>
      <w:r>
        <w:rPr>
          <w:rFonts w:ascii="Times New Roman" w:hAnsi="Times New Roman" w:eastAsia="Times New Roman" w:cs="Times New Roman"/>
          <w:b w:val="0"/>
          <w:i/>
          <w:color w:val="000000"/>
          <w:sz w:val="22"/>
        </w:rPr>
        <w:t>Tabel 3. Bukti penerapan lisensi HAWK-EYE</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24"/>
        <w:gridCol w:w="3024"/>
        <w:gridCol w:w="3024"/>
      </w:tblGrid>
      <w:tr>
        <w:trPr>
          <w:tblHeader w:val="true"/>
          <w:cantSplit/>
        </w:trPr>
        <w:tc>
          <w:tcPr>
            <w:tcW w:type="dxa" w:w="2098"/>
            <w:vAlign w:val="center"/>
            <w:shd w:fill="FFFFFF"/>
            <w:tcMar>
              <w:top w:w="70" w:type="dxa"/>
              <w:start w:w="90" w:type="dxa"/>
              <w:bottom w:w="70" w:type="dxa"/>
              <w:end w:w="90" w:type="dxa"/>
            </w:tcMar>
          </w:tcPr>
          <w:p>
            <w:pPr>
              <w:jc w:val="center"/>
            </w:pPr>
            <w:r>
              <w:rPr>
                <w:rFonts w:ascii="Times New Roman" w:hAnsi="Times New Roman" w:eastAsia="Times New Roman" w:cs="Times New Roman"/>
                <w:b/>
                <w:i w:val="0"/>
                <w:color w:val="000000"/>
                <w:sz w:val="19"/>
              </w:rPr>
              <w:t>Bukti</w:t>
            </w:r>
          </w:p>
        </w:tc>
        <w:tc>
          <w:tcPr>
            <w:tcW w:type="dxa" w:w="3005"/>
            <w:vAlign w:val="center"/>
            <w:shd w:fill="FFFFFF"/>
            <w:tcMar>
              <w:top w:w="70" w:type="dxa"/>
              <w:start w:w="90" w:type="dxa"/>
              <w:bottom w:w="70" w:type="dxa"/>
              <w:end w:w="90" w:type="dxa"/>
            </w:tcMar>
          </w:tcPr>
          <w:p>
            <w:pPr>
              <w:jc w:val="center"/>
            </w:pPr>
            <w:r>
              <w:rPr>
                <w:rFonts w:ascii="Times New Roman" w:hAnsi="Times New Roman" w:eastAsia="Times New Roman" w:cs="Times New Roman"/>
                <w:b/>
                <w:i w:val="0"/>
                <w:color w:val="000000"/>
                <w:sz w:val="19"/>
              </w:rPr>
              <w:t>Lokasi</w:t>
            </w:r>
          </w:p>
        </w:tc>
        <w:tc>
          <w:tcPr>
            <w:tcW w:type="dxa" w:w="4252"/>
            <w:vAlign w:val="center"/>
            <w:shd w:fill="FFFFFF"/>
            <w:tcMar>
              <w:top w:w="70" w:type="dxa"/>
              <w:start w:w="90" w:type="dxa"/>
              <w:bottom w:w="70" w:type="dxa"/>
              <w:end w:w="90" w:type="dxa"/>
            </w:tcMar>
          </w:tcPr>
          <w:p>
            <w:pPr>
              <w:jc w:val="center"/>
            </w:pPr>
            <w:r>
              <w:rPr>
                <w:rFonts w:ascii="Times New Roman" w:hAnsi="Times New Roman" w:eastAsia="Times New Roman" w:cs="Times New Roman"/>
                <w:b/>
                <w:i w:val="0"/>
                <w:color w:val="000000"/>
                <w:sz w:val="19"/>
              </w:rPr>
              <w:t>Fungsi</w:t>
            </w:r>
          </w:p>
        </w:tc>
      </w:tr>
      <w:tr>
        <w:trPr>
          <w:cantSplit/>
        </w:trPr>
        <w:tc>
          <w:tcPr>
            <w:tcW w:type="dxa" w:w="209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Repositori sumber</w:t>
            </w:r>
          </w:p>
        </w:tc>
        <w:tc>
          <w:tcPr>
            <w:tcW w:type="dxa" w:w="3005"/>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https://github.com/myudak/hawkeye-judolgraph</w:t>
            </w:r>
          </w:p>
        </w:tc>
        <w:tc>
          <w:tcPr>
            <w:tcW w:type="dxa" w:w="4252"/>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Menyediakan kode sumber dan riwayat versi yang dilisensikan.</w:t>
            </w:r>
          </w:p>
        </w:tc>
      </w:tr>
      <w:tr>
        <w:trPr>
          <w:cantSplit/>
        </w:trPr>
        <w:tc>
          <w:tcPr>
            <w:tcW w:type="dxa" w:w="209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Teks MIT</w:t>
            </w:r>
          </w:p>
        </w:tc>
        <w:tc>
          <w:tcPr>
            <w:tcW w:type="dxa" w:w="3005"/>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LICENSE</w:t>
            </w:r>
          </w:p>
        </w:tc>
        <w:tc>
          <w:tcPr>
            <w:tcW w:type="dxa" w:w="4252"/>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Memuat teks lisensi untuk karya asli HAWK-EYE.</w:t>
            </w:r>
          </w:p>
        </w:tc>
      </w:tr>
      <w:tr>
        <w:trPr>
          <w:cantSplit/>
        </w:trPr>
        <w:tc>
          <w:tcPr>
            <w:tcW w:type="dxa" w:w="209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Metadata Python</w:t>
            </w:r>
          </w:p>
        </w:tc>
        <w:tc>
          <w:tcPr>
            <w:tcW w:type="dxa" w:w="3005"/>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pyproject.toml</w:t>
            </w:r>
          </w:p>
        </w:tc>
        <w:tc>
          <w:tcPr>
            <w:tcW w:type="dxa" w:w="4252"/>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Mendeklarasikan lisensi MIT pada paket Python versi 1.0.0.</w:t>
            </w:r>
          </w:p>
        </w:tc>
      </w:tr>
      <w:tr>
        <w:trPr>
          <w:cantSplit/>
        </w:trPr>
        <w:tc>
          <w:tcPr>
            <w:tcW w:type="dxa" w:w="209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Metadata workspace</w:t>
            </w:r>
          </w:p>
        </w:tc>
        <w:tc>
          <w:tcPr>
            <w:tcW w:type="dxa" w:w="3005"/>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package.json</w:t>
            </w:r>
          </w:p>
        </w:tc>
        <w:tc>
          <w:tcPr>
            <w:tcW w:type="dxa" w:w="4252"/>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Mendeklarasikan lisensi MIT pada workspace JavaScript versi 1.0.0.</w:t>
            </w:r>
          </w:p>
        </w:tc>
      </w:tr>
      <w:tr>
        <w:trPr>
          <w:cantSplit/>
        </w:trPr>
        <w:tc>
          <w:tcPr>
            <w:tcW w:type="dxa" w:w="209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Notice pihak ketiga</w:t>
            </w:r>
          </w:p>
        </w:tc>
        <w:tc>
          <w:tcPr>
            <w:tcW w:type="dxa" w:w="3005"/>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THIRD_PARTY_NOTICES.md</w:t>
            </w:r>
          </w:p>
        </w:tc>
        <w:tc>
          <w:tcPr>
            <w:tcW w:type="dxa" w:w="4252"/>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Mencatat lisensi dan notice komponen pihak ketiga yang digunakan.</w:t>
            </w:r>
          </w:p>
        </w:tc>
      </w:tr>
      <w:tr>
        <w:trPr>
          <w:cantSplit/>
        </w:trPr>
        <w:tc>
          <w:tcPr>
            <w:tcW w:type="dxa" w:w="209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Inventaris komponen</w:t>
            </w:r>
          </w:p>
        </w:tc>
        <w:tc>
          <w:tcPr>
            <w:tcW w:type="dxa" w:w="3005"/>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competition/gemastik-2026/technical/LIBRARIES_AND_LICENSES.md</w:t>
            </w:r>
          </w:p>
        </w:tc>
        <w:tc>
          <w:tcPr>
            <w:tcW w:type="dxa" w:w="4252"/>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Mencatat komponen, versi, fungsi, dan lisensi pada snapshot kompetisi.</w:t>
            </w:r>
          </w:p>
        </w:tc>
      </w:tr>
      <w:tr>
        <w:trPr>
          <w:cantSplit/>
        </w:trPr>
        <w:tc>
          <w:tcPr>
            <w:tcW w:type="dxa" w:w="2098"/>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Rilis yang diperiksa</w:t>
            </w:r>
          </w:p>
        </w:tc>
        <w:tc>
          <w:tcPr>
            <w:tcW w:type="dxa" w:w="3005"/>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v1.0.0 / 20beb0cd0062fcf986a16c75d07290a7cbb82048</w:t>
            </w:r>
          </w:p>
        </w:tc>
        <w:tc>
          <w:tcPr>
            <w:tcW w:type="dxa" w:w="4252"/>
            <w:vAlign w:val="top"/>
            <w:shd w:fill="FFFFFF"/>
            <w:tcMar>
              <w:top w:w="70" w:type="dxa"/>
              <w:start w:w="90" w:type="dxa"/>
              <w:bottom w:w="70" w:type="dxa"/>
              <w:end w:w="90" w:type="dxa"/>
            </w:tcMar>
          </w:tcPr>
          <w:p>
            <w:pPr>
              <w:spacing w:line="240" w:lineRule="auto"/>
              <w:ind w:firstLine="0"/>
            </w:pPr>
            <w:r>
              <w:rPr>
                <w:rFonts w:ascii="Times New Roman" w:hAnsi="Times New Roman" w:eastAsia="Times New Roman" w:cs="Times New Roman"/>
                <w:b w:val="0"/>
                <w:i w:val="0"/>
                <w:color w:val="000000"/>
                <w:sz w:val="19"/>
              </w:rPr>
              <w:t>Membatasi objek pemeriksaan pada versi dan commit tertentu.</w:t>
            </w:r>
          </w:p>
        </w:tc>
      </w:tr>
    </w:tbl>
    <w:p>
      <w:pPr>
        <w:pStyle w:val="Heading1"/>
      </w:pPr>
      <w:r>
        <w:rPr>
          <w:rFonts w:ascii="Times New Roman" w:hAnsi="Times New Roman" w:eastAsia="Times New Roman" w:cs="Times New Roman"/>
          <w:b w:val="0"/>
          <w:i w:val="0"/>
          <w:color w:val="000000"/>
          <w:sz w:val="24"/>
        </w:rPr>
        <w:t>8. Teks MIT License</w:t>
      </w:r>
    </w:p>
    <w:p>
      <w:pPr>
        <w:spacing w:line="360" w:lineRule="auto" w:after="0"/>
        <w:ind w:firstLine="425"/>
        <w:jc w:val="both"/>
      </w:pPr>
      <w:r>
        <w:rPr>
          <w:rFonts w:ascii="Times New Roman" w:hAnsi="Times New Roman" w:eastAsia="Times New Roman" w:cs="Times New Roman"/>
          <w:b w:val="0"/>
          <w:i w:val="0"/>
          <w:color w:val="000000"/>
          <w:sz w:val="24"/>
        </w:rPr>
        <w:t>Teks berikut berlaku untuk karya asli HAWK-EYE. Pencantuman penuh membuat dokumen ini dapat dibaca tanpa bergantung pada berkas eksternal.</w:t>
      </w:r>
    </w:p>
    <w:p>
      <w:pPr>
        <w:spacing w:line="240" w:lineRule="auto" w:after="120"/>
        <w:ind w:firstLine="0"/>
        <w:jc w:val="left"/>
      </w:pPr>
      <w:r>
        <w:rPr>
          <w:rFonts w:ascii="Times New Roman" w:hAnsi="Times New Roman" w:eastAsia="Times New Roman" w:cs="Times New Roman"/>
          <w:b/>
          <w:i w:val="0"/>
          <w:color w:val="000000"/>
          <w:sz w:val="21"/>
        </w:rPr>
        <w:t>MIT License</w:t>
      </w:r>
    </w:p>
    <w:p>
      <w:pPr>
        <w:spacing w:line="240" w:lineRule="auto" w:after="120"/>
        <w:ind w:firstLine="0"/>
        <w:jc w:val="left"/>
      </w:pPr>
      <w:r>
        <w:rPr>
          <w:rFonts w:ascii="Times New Roman" w:hAnsi="Times New Roman" w:eastAsia="Times New Roman" w:cs="Times New Roman"/>
          <w:b w:val="0"/>
          <w:i w:val="0"/>
          <w:color w:val="000000"/>
          <w:sz w:val="21"/>
        </w:rPr>
        <w:t>Copyright (c) 2026 HAWK-EYE contributors</w:t>
      </w:r>
    </w:p>
    <w:p>
      <w:pPr>
        <w:spacing w:line="240" w:lineRule="auto" w:after="180"/>
        <w:ind w:firstLine="0"/>
        <w:jc w:val="left"/>
      </w:pPr>
      <w:r>
        <w:rPr>
          <w:rFonts w:ascii="Times New Roman" w:hAnsi="Times New Roman" w:eastAsia="Times New Roman" w:cs="Times New Roman"/>
          <w:b w:val="0"/>
          <w:i w:val="0"/>
          <w:color w:val="000000"/>
          <w:sz w:val="21"/>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40" w:lineRule="auto" w:after="180"/>
        <w:ind w:firstLine="0"/>
        <w:jc w:val="left"/>
      </w:pPr>
      <w:r>
        <w:rPr>
          <w:rFonts w:ascii="Times New Roman" w:hAnsi="Times New Roman" w:eastAsia="Times New Roman" w:cs="Times New Roman"/>
          <w:b w:val="0"/>
          <w:i w:val="0"/>
          <w:color w:val="000000"/>
          <w:sz w:val="21"/>
        </w:rPr>
        <w:t>The above copyright notice and this permission notice shall be included in all copies or substantial portions of the Software.</w:t>
      </w:r>
    </w:p>
    <w:p>
      <w:pPr>
        <w:spacing w:line="240" w:lineRule="auto" w:after="180"/>
        <w:ind w:firstLine="0"/>
        <w:jc w:val="left"/>
      </w:pPr>
      <w:r>
        <w:rPr>
          <w:rFonts w:ascii="Times New Roman" w:hAnsi="Times New Roman" w:eastAsia="Times New Roman" w:cs="Times New Roman"/>
          <w:b w:val="0"/>
          <w:i w:val="0"/>
          <w:color w:val="000000"/>
          <w:sz w:val="21"/>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pStyle w:val="Heading1"/>
      </w:pPr>
      <w:r>
        <w:rPr>
          <w:rFonts w:ascii="Times New Roman" w:hAnsi="Times New Roman" w:eastAsia="Times New Roman" w:cs="Times New Roman"/>
          <w:b w:val="0"/>
          <w:i w:val="0"/>
          <w:color w:val="000000"/>
          <w:sz w:val="24"/>
        </w:rPr>
        <w:t>9. Pernyataan Akhir</w:t>
      </w:r>
    </w:p>
    <w:p>
      <w:pPr>
        <w:spacing w:line="360" w:lineRule="auto" w:after="0"/>
        <w:ind w:firstLine="425"/>
        <w:jc w:val="both"/>
      </w:pPr>
      <w:r>
        <w:rPr>
          <w:rFonts w:ascii="Times New Roman" w:hAnsi="Times New Roman" w:eastAsia="Times New Roman" w:cs="Times New Roman"/>
          <w:b w:val="0"/>
          <w:i w:val="0"/>
          <w:color w:val="000000"/>
          <w:sz w:val="24"/>
        </w:rPr>
        <w:t>Tim Ajarin Kami Sepuh mengadopsi MIT License untuk karya asli HAWK-EYE versi 1.0.0 sejak 13 Agustus 2026. Adopsi ini memberikan izin penggunaan, modifikasi, dan redistribusi sesuai teks MIT tanpa mengalihkan hak atau mengubah lisensi komponen pihak ketiga.</w:t>
      </w:r>
    </w:p>
    <w:p>
      <w:pPr>
        <w:pStyle w:val="Heading1"/>
      </w:pPr>
      <w:r>
        <w:rPr>
          <w:rFonts w:ascii="Times New Roman" w:hAnsi="Times New Roman" w:eastAsia="Times New Roman" w:cs="Times New Roman"/>
          <w:b w:val="0"/>
          <w:i w:val="0"/>
          <w:color w:val="000000"/>
          <w:sz w:val="24"/>
        </w:rPr>
        <w:t>10. Referensi</w:t>
      </w:r>
    </w:p>
    <w:p>
      <w:pPr>
        <w:spacing w:line="360" w:lineRule="auto"/>
        <w:ind w:left="510" w:hanging="369"/>
      </w:pPr>
      <w:r>
        <w:rPr>
          <w:rFonts w:ascii="Times New Roman" w:hAnsi="Times New Roman" w:eastAsia="Times New Roman" w:cs="Times New Roman"/>
          <w:b w:val="0"/>
          <w:i w:val="0"/>
          <w:color w:val="000000"/>
          <w:sz w:val="24"/>
        </w:rPr>
        <w:t xml:space="preserve">1. </w:t>
      </w:r>
      <w:r>
        <w:rPr>
          <w:rFonts w:ascii="Times New Roman" w:hAnsi="Times New Roman" w:eastAsia="Times New Roman" w:cs="Times New Roman"/>
          <w:b w:val="0"/>
          <w:i w:val="0"/>
          <w:color w:val="000000"/>
          <w:sz w:val="24"/>
        </w:rPr>
        <w:t>Open Source Initiative. The MIT License. https://opensource.org/license/mit (diakses 14 Agustus 2026).</w:t>
      </w:r>
    </w:p>
    <w:p>
      <w:pPr>
        <w:spacing w:line="360" w:lineRule="auto"/>
        <w:ind w:left="510" w:hanging="369"/>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val="0"/>
          <w:i w:val="0"/>
          <w:color w:val="000000"/>
          <w:sz w:val="24"/>
        </w:rPr>
        <w:t>Software Package Data Exchange (SPDX). MIT License, SPDX identifier MIT. https://spdx.org/licenses/MIT.html (diakses 14 Agustus 2026).</w:t>
      </w:r>
    </w:p>
    <w:p>
      <w:pPr>
        <w:spacing w:line="360" w:lineRule="auto"/>
        <w:ind w:left="510" w:hanging="369"/>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val="0"/>
          <w:i w:val="0"/>
          <w:color w:val="000000"/>
          <w:sz w:val="24"/>
        </w:rPr>
        <w:t>HAWK-EYE — JudolGraph. Repositori sumber. https://github.com/myudak/hawkeye-judolgraph (diakses 14 Agustus 2026).</w:t>
      </w:r>
    </w:p>
    <w:p>
      <w:pPr>
        <w:spacing w:line="360" w:lineRule="auto"/>
        <w:ind w:left="510" w:hanging="369"/>
      </w:pPr>
      <w:r>
        <w:rPr>
          <w:rFonts w:ascii="Times New Roman" w:hAnsi="Times New Roman" w:eastAsia="Times New Roman" w:cs="Times New Roman"/>
          <w:b w:val="0"/>
          <w:i w:val="0"/>
          <w:color w:val="000000"/>
          <w:sz w:val="24"/>
        </w:rPr>
        <w:t xml:space="preserve">4. </w:t>
      </w:r>
      <w:r>
        <w:rPr>
          <w:rFonts w:ascii="Times New Roman" w:hAnsi="Times New Roman" w:eastAsia="Times New Roman" w:cs="Times New Roman"/>
          <w:b w:val="0"/>
          <w:i w:val="0"/>
          <w:color w:val="000000"/>
          <w:sz w:val="24"/>
        </w:rPr>
        <w:t>HAWK-EYE — JudolGraph. Rilis v1.0.0. https://github.com/myudak/hawkeye-judolgraph/releases/tag/v1.0.0 (diakses 14 Agustus 2026).</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eastAsia="Times New Roman" w:cs="Times New Roman"/>
        <w:b w:val="0"/>
        <w:i w:val="0"/>
        <w:color w:val="000000"/>
        <w:sz w:val="20"/>
      </w:rPr>
      <w:t xml:space="preserve">Universitas Diponegoro  ·  </w:t>
    </w:r>
    <w:r>
      <w:rPr>
        <w:rFonts w:ascii="Times New Roman" w:hAnsi="Times New Roman" w:eastAsia="Times New Roman" w:cs="Times New Roman"/>
        <w:b w:val="0"/>
        <w:i w:val="0"/>
        <w:color w:val="000000"/>
        <w:sz w:val="20"/>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eastAsia="Times New Roman" w:cs="Times New Roman"/>
        <w:b w:val="0"/>
        <w:i w:val="0"/>
        <w:color w:val="000000"/>
        <w:sz w:val="18"/>
      </w:rPr>
      <w:t>HAWK-EYE — Adopsi Lisensi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425"/>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left="0"/>
      <w:jc w:val="left"/>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60"/>
      <w:ind w:firstLine="0" w:left="0"/>
      <w:jc w:val="left"/>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left="0"/>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0" w:line="360" w:lineRule="auto" w:before="0"/>
      <w:ind w:firstLine="425"/>
      <w:jc w:val="both"/>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ind w:firstLine="0"/>
      <w:jc w:val="center"/>
    </w:pPr>
    <w:rPr>
      <w:rFonts w:ascii="Times New Roman" w:hAnsi="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