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056"/>
        <w:gridCol w:w="2736"/>
      </w:tblGrid>
      <w:tr>
        <w:trPr>
          <w:tblHeader w:val="true"/>
        </w:trPr>
        <w:tc>
          <w:tcPr>
            <w:tcW w:type="dxa" w:w="4997"/>
            <w:shd w:fill="071724"/>
            <w:tcMar>
              <w:top w:w="180" w:type="dxa"/>
              <w:start w:w="240" w:type="dxa"/>
              <w:bottom w:w="180" w:type="dxa"/>
              <w:end w:w="80" w:type="dxa"/>
            </w:tcMar>
            <w:vAlign w:val="center"/>
          </w:tcPr>
          <w:p>
            <w:pPr>
              <w:spacing w:after="20"/>
            </w:pPr>
            <w:r>
              <w:rPr>
                <w:b/>
                <w:color w:val="FFFFFF"/>
                <w:sz w:val="36"/>
              </w:rPr>
              <w:t>HAWK-EYE</w:t>
            </w:r>
          </w:p>
          <w:p>
            <w:pPr>
              <w:spacing w:after="0"/>
            </w:pPr>
            <w:r>
              <w:rPr>
                <w:b/>
                <w:color w:val="8BB7D0"/>
                <w:sz w:val="15"/>
              </w:rPr>
              <w:t>ALAT INVESTIGASI EKOSISTEM JUDI ONLINE</w:t>
            </w:r>
          </w:p>
        </w:tc>
        <w:tc>
          <w:tcPr>
            <w:tcW w:type="dxa" w:w="4997"/>
            <w:shd w:fill="071724"/>
            <w:tcMar>
              <w:top w:w="100" w:type="dxa"/>
              <w:start w:w="80" w:type="dxa"/>
              <w:bottom w:w="100" w:type="dxa"/>
              <w:end w:w="160" w:type="dxa"/>
            </w:tcMar>
            <w:vAlign w:val="center"/>
          </w:tcPr>
          <w:p>
            <w:pPr>
              <w:jc w:val="right"/>
            </w:pPr>
            <w:r>
              <w:drawing>
                <wp:inline xmlns:a="http://schemas.openxmlformats.org/drawingml/2006/main" xmlns:pic="http://schemas.openxmlformats.org/drawingml/2006/picture">
                  <wp:extent cx="868680" cy="868680"/>
                  <wp:docPr id="1" name="Picture 1" title="Logo HAWK-EYE" descr="Ikon burung elang HAWK-EYE berwarna hitam dan magenta."/>
                  <wp:cNvGraphicFramePr>
                    <a:graphicFrameLocks noChangeAspect="1"/>
                  </wp:cNvGraphicFramePr>
                  <a:graphic>
                    <a:graphicData uri="http://schemas.openxmlformats.org/drawingml/2006/picture">
                      <pic:pic>
                        <pic:nvPicPr>
                          <pic:cNvPr id="0" name="hawkeye-avatar.png"/>
                          <pic:cNvPicPr/>
                        </pic:nvPicPr>
                        <pic:blipFill>
                          <a:blip r:embed="rId9"/>
                          <a:stretch>
                            <a:fillRect/>
                          </a:stretch>
                        </pic:blipFill>
                        <pic:spPr>
                          <a:xfrm>
                            <a:off x="0" y="0"/>
                            <a:ext cx="868680" cy="868680"/>
                          </a:xfrm>
                          <a:prstGeom prst="rect"/>
                        </pic:spPr>
                      </pic:pic>
                    </a:graphicData>
                  </a:graphic>
                </wp:inline>
              </w:drawing>
            </w:r>
          </w:p>
        </w:tc>
      </w:tr>
    </w:tbl>
    <w:tbl>
      <w:tblPr>
        <w:tblW w:type="auto" w:w="0"/>
        <w:jc w:val="center"/>
        <w:tblLook w:firstColumn="1" w:firstRow="1" w:lastColumn="0" w:lastRow="0" w:noHBand="0" w:noVBand="1" w:val="04A0"/>
      </w:tblPr>
      <w:tblGrid>
        <w:gridCol w:w="9994"/>
      </w:tblGrid>
      <w:tr>
        <w:trPr>
          <w:tblHeader w:val="true"/>
        </w:trPr>
        <w:tc>
          <w:tcPr>
            <w:tcW w:type="dxa" w:w="9965"/>
            <w:shd w:fill="EC0A6B"/>
            <w:tcMar>
              <w:top w:w="18" w:type="dxa"/>
              <w:start w:w="0" w:type="dxa"/>
              <w:bottom w:w="18" w:type="dxa"/>
              <w:end w:w="0" w:type="dxa"/>
            </w:tcMar>
          </w:tcPr>
          <w:p>
            <w:pPr>
              <w:spacing w:after="0"/>
            </w:pPr>
          </w:p>
        </w:tc>
      </w:tr>
    </w:tbl>
    <w:p>
      <w:pPr>
        <w:spacing w:after="560"/>
      </w:pPr>
    </w:p>
    <w:p>
      <w:pPr>
        <w:spacing w:after="240"/>
      </w:pPr>
      <w:r>
        <w:rPr>
          <w:b/>
          <w:color w:val="EC0A6B"/>
          <w:sz w:val="20"/>
        </w:rPr>
        <w:t>GEMASTIK 2026  /  AL-07</w:t>
      </w:r>
    </w:p>
    <w:p>
      <w:pPr>
        <w:keepNext/>
        <w:spacing w:after="160"/>
      </w:pPr>
      <w:r>
        <w:rPr>
          <w:b/>
          <w:color w:val="071724"/>
          <w:sz w:val="60"/>
        </w:rPr>
        <w:t>Adopsi Lisensi</w:t>
      </w:r>
    </w:p>
    <w:p>
      <w:pPr>
        <w:spacing w:after="280"/>
      </w:pPr>
      <w:r>
        <w:rPr>
          <w:color w:val="1F4D78"/>
          <w:sz w:val="30"/>
        </w:rPr>
        <w:t>MIT License untuk karya asli HAWK-EYE</w:t>
      </w:r>
    </w:p>
    <w:p>
      <w:pPr>
        <w:spacing w:after="840"/>
      </w:pPr>
      <w:r>
        <w:rPr>
          <w:b/>
          <w:color w:val="EC0A6B"/>
          <w:sz w:val="21"/>
        </w:rPr>
        <w:t>Tanggal berlaku 13 Agustus 2026</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1944"/>
            <w:shd w:fill="E8EEF5"/>
            <w:tcMar>
              <w:top w:w="90" w:type="dxa"/>
              <w:start w:w="120" w:type="dxa"/>
              <w:bottom w:w="90" w:type="dxa"/>
              <w:end w:w="120" w:type="dxa"/>
            </w:tcMar>
            <w:vAlign w:val="center"/>
          </w:tcPr>
          <w:p>
            <w:pPr>
              <w:spacing w:after="0"/>
            </w:pPr>
            <w:r>
              <w:rPr>
                <w:b/>
                <w:color w:val="1F4D78"/>
                <w:sz w:val="17"/>
              </w:rPr>
              <w:t>PRODUK</w:t>
            </w:r>
          </w:p>
        </w:tc>
        <w:tc>
          <w:tcPr>
            <w:tcW w:type="dxa" w:w="7416"/>
            <w:tcMar>
              <w:top w:w="90" w:type="dxa"/>
              <w:start w:w="120" w:type="dxa"/>
              <w:bottom w:w="90" w:type="dxa"/>
              <w:end w:w="120" w:type="dxa"/>
            </w:tcMar>
            <w:vAlign w:val="center"/>
          </w:tcPr>
          <w:p>
            <w:pPr>
              <w:spacing w:after="0"/>
            </w:pPr>
            <w:r>
              <w:rPr>
                <w:color w:val="071724"/>
                <w:sz w:val="19"/>
              </w:rPr>
              <w:t>HAWK-EYE — JudolGraph</w:t>
            </w:r>
          </w:p>
        </w:tc>
      </w:tr>
      <w:tr>
        <w:tc>
          <w:tcPr>
            <w:tcW w:type="dxa" w:w="1944"/>
            <w:shd w:fill="E8EEF5"/>
            <w:tcMar>
              <w:top w:w="90" w:type="dxa"/>
              <w:start w:w="120" w:type="dxa"/>
              <w:bottom w:w="90" w:type="dxa"/>
              <w:end w:w="120" w:type="dxa"/>
            </w:tcMar>
            <w:vAlign w:val="center"/>
          </w:tcPr>
          <w:p>
            <w:pPr>
              <w:spacing w:after="0"/>
            </w:pPr>
            <w:r>
              <w:rPr>
                <w:b/>
                <w:color w:val="1F4D78"/>
                <w:sz w:val="17"/>
              </w:rPr>
              <w:t>VERSI</w:t>
            </w:r>
          </w:p>
        </w:tc>
        <w:tc>
          <w:tcPr>
            <w:tcW w:type="dxa" w:w="7416"/>
            <w:tcMar>
              <w:top w:w="90" w:type="dxa"/>
              <w:start w:w="120" w:type="dxa"/>
              <w:bottom w:w="90" w:type="dxa"/>
              <w:end w:w="120" w:type="dxa"/>
            </w:tcMar>
            <w:vAlign w:val="center"/>
          </w:tcPr>
          <w:p>
            <w:pPr>
              <w:spacing w:after="0"/>
            </w:pPr>
            <w:r>
              <w:rPr>
                <w:color w:val="071724"/>
                <w:sz w:val="19"/>
              </w:rPr>
              <w:t>1.0.0</w:t>
            </w:r>
          </w:p>
        </w:tc>
      </w:tr>
      <w:tr>
        <w:tc>
          <w:tcPr>
            <w:tcW w:type="dxa" w:w="1944"/>
            <w:shd w:fill="E8EEF5"/>
            <w:tcMar>
              <w:top w:w="90" w:type="dxa"/>
              <w:start w:w="120" w:type="dxa"/>
              <w:bottom w:w="90" w:type="dxa"/>
              <w:end w:w="120" w:type="dxa"/>
            </w:tcMar>
            <w:vAlign w:val="center"/>
          </w:tcPr>
          <w:p>
            <w:pPr>
              <w:spacing w:after="0"/>
            </w:pPr>
            <w:r>
              <w:rPr>
                <w:b/>
                <w:color w:val="1F4D78"/>
                <w:sz w:val="17"/>
              </w:rPr>
              <w:t>SNAPSHOT</w:t>
            </w:r>
          </w:p>
        </w:tc>
        <w:tc>
          <w:tcPr>
            <w:tcW w:type="dxa" w:w="7416"/>
            <w:tcMar>
              <w:top w:w="90" w:type="dxa"/>
              <w:start w:w="120" w:type="dxa"/>
              <w:bottom w:w="90" w:type="dxa"/>
              <w:end w:w="120" w:type="dxa"/>
            </w:tcMar>
            <w:vAlign w:val="center"/>
          </w:tcPr>
          <w:p>
            <w:pPr>
              <w:spacing w:after="0"/>
            </w:pPr>
            <w:r>
              <w:rPr>
                <w:color w:val="071724"/>
                <w:sz w:val="19"/>
              </w:rPr>
              <w:t>13 Agustus 2026</w:t>
            </w:r>
          </w:p>
        </w:tc>
      </w:tr>
      <w:tr>
        <w:tc>
          <w:tcPr>
            <w:tcW w:type="dxa" w:w="1944"/>
            <w:shd w:fill="E8EEF5"/>
            <w:tcMar>
              <w:top w:w="90" w:type="dxa"/>
              <w:start w:w="120" w:type="dxa"/>
              <w:bottom w:w="90" w:type="dxa"/>
              <w:end w:w="120" w:type="dxa"/>
            </w:tcMar>
            <w:vAlign w:val="center"/>
          </w:tcPr>
          <w:p>
            <w:pPr>
              <w:spacing w:after="0"/>
            </w:pPr>
            <w:r>
              <w:rPr>
                <w:b/>
                <w:color w:val="1F4D78"/>
                <w:sz w:val="17"/>
              </w:rPr>
              <w:t>KLASIFIKASI</w:t>
            </w:r>
          </w:p>
        </w:tc>
        <w:tc>
          <w:tcPr>
            <w:tcW w:type="dxa" w:w="7416"/>
            <w:tcMar>
              <w:top w:w="90" w:type="dxa"/>
              <w:start w:w="120" w:type="dxa"/>
              <w:bottom w:w="90" w:type="dxa"/>
              <w:end w:w="120" w:type="dxa"/>
            </w:tcMar>
            <w:vAlign w:val="center"/>
          </w:tcPr>
          <w:p>
            <w:pPr>
              <w:spacing w:after="0"/>
            </w:pPr>
            <w:r>
              <w:rPr>
                <w:color w:val="071724"/>
                <w:sz w:val="19"/>
              </w:rPr>
              <w:t>Deliverable kompetisi</w:t>
            </w:r>
          </w:p>
        </w:tc>
      </w:tr>
    </w:tbl>
    <w:p>
      <w:pPr>
        <w:spacing w:after="360"/>
      </w:pPr>
    </w:p>
    <w:p>
      <w:pPr>
        <w:spacing w:after="0"/>
        <w:ind w:left="216" w:right="216"/>
      </w:pPr>
      <w:r>
        <w:rPr>
          <w:b/>
          <w:color w:val="667085"/>
          <w:sz w:val="18"/>
        </w:rPr>
        <w:t>Batas interpretasi — kandidat adalah lead, kemiripan bukan probabilitas kepemilikan, dan indikator adalah hitungan item bukti.</w:t>
      </w:r>
    </w:p>
    <w:p>
      <w:pPr>
        <w:sectPr>
          <w:pgSz w:w="12240" w:h="15840"/>
          <w:pgMar w:top="1080" w:right="1123" w:bottom="1037" w:left="1123" w:header="504" w:footer="504" w:gutter="0"/>
          <w:cols w:space="720"/>
          <w:docGrid w:linePitch="360"/>
        </w:sectPr>
      </w:pPr>
    </w:p>
    <w:p>
      <w:r>
        <w:rPr>
          <w:b/>
        </w:rPr>
        <w:t>Produk:</w:t>
      </w:r>
      <w:r>
        <w:t xml:space="preserve"> HAWK-EYE — JudolGraph </w:t>
      </w:r>
      <w:r>
        <w:rPr>
          <w:b/>
        </w:rPr>
        <w:t>Versi:</w:t>
      </w:r>
      <w:r>
        <w:t xml:space="preserve"> 1.0.0 </w:t>
      </w:r>
      <w:r>
        <w:rPr>
          <w:b/>
        </w:rPr>
        <w:t>Tanggal berlaku:</w:t>
      </w:r>
      <w:r>
        <w:t xml:space="preserve"> 13 Agustus 2026</w:t>
      </w:r>
    </w:p>
    <w:p>
      <w:pPr>
        <w:pStyle w:val="Heading2"/>
      </w:pPr>
      <w:r>
        <w:t>1. Keputusan lisensi</w:t>
      </w:r>
    </w:p>
    <w:p>
      <w:r>
        <w:t xml:space="preserve">Perangkat lunak HAWK-EYE mengadopsi </w:t>
      </w:r>
      <w:r>
        <w:rPr>
          <w:b/>
        </w:rPr>
        <w:t>MIT License</w:t>
      </w:r>
      <w:r>
        <w:t xml:space="preserve"> untuk kode sumber dan dokumentasi yang dibuat oleh kontributor proyek. Teks lisensi lengkap ditempatkan pada berkas </w:t>
      </w:r>
      <w:r>
        <w:rPr>
          <w:rFonts w:ascii="Consolas" w:hAnsi="Consolas"/>
          <w:color w:val="1F4D78"/>
          <w:sz w:val="19"/>
        </w:rPr>
        <w:t>LICENSE</w:t>
      </w:r>
      <w:r>
        <w:t xml:space="preserve"> di akar repositori dan pengenal </w:t>
      </w:r>
      <w:r>
        <w:rPr>
          <w:rFonts w:ascii="Consolas" w:hAnsi="Consolas"/>
          <w:color w:val="1F4D78"/>
          <w:sz w:val="19"/>
        </w:rPr>
        <w:t>MIT</w:t>
      </w:r>
      <w:r>
        <w:t xml:space="preserve"> dicantumkan pada </w:t>
      </w:r>
      <w:r>
        <w:rPr>
          <w:rFonts w:ascii="Consolas" w:hAnsi="Consolas"/>
          <w:color w:val="1F4D78"/>
          <w:sz w:val="19"/>
        </w:rPr>
        <w:t>package.json</w:t>
      </w:r>
      <w:r>
        <w:t xml:space="preserve"> serta </w:t>
      </w:r>
      <w:r>
        <w:rPr>
          <w:rFonts w:ascii="Consolas" w:hAnsi="Consolas"/>
          <w:color w:val="1F4D78"/>
          <w:sz w:val="19"/>
        </w:rPr>
        <w:t>pyproject.toml</w:t>
      </w:r>
      <w:r>
        <w:t>.</w:t>
      </w:r>
    </w:p>
    <w:p>
      <w:r>
        <w:t>MIT dipilih karena sederhana, permisif, mudah diaudit, dan kompatibel dengan sebagian besar komponen langsung yang digunakan proyek. Lisensi ini mengizinkan penggunaan, penyalinan, perubahan, penggabungan, publikasi, distribusi, sublisensi, dan penjualan salinan, dengan syarat pemberitahuan hak cipta dan teks izin MIT dipertahankan pada salinan atau bagian substansial perangkat lunak. Perangkat lunak disediakan “sebagaimana adanya”, tanpa jaminan.</w:t>
      </w:r>
    </w:p>
    <w:p>
      <w:pPr>
        <w:pStyle w:val="Heading2"/>
      </w:pPr>
      <w:r>
        <w:t>2. Cakupan adopsi</w:t>
      </w:r>
    </w:p>
    <w:p>
      <w:r>
        <w:t>Lisensi MIT proyek mencakup karya asli di repositori, antara lain:</w:t>
      </w:r>
    </w:p>
    <w:p>
      <w:pPr>
        <w:spacing w:after="80" w:line="283" w:lineRule="auto"/>
        <w:ind w:left="490" w:hanging="288"/>
      </w:pPr>
      <w:r>
        <w:t xml:space="preserve">•  </w:t>
      </w:r>
      <w:r>
        <w:t xml:space="preserve">backend Python pada </w:t>
      </w:r>
      <w:r>
        <w:rPr>
          <w:rFonts w:ascii="Consolas" w:hAnsi="Consolas"/>
          <w:color w:val="1F4D78"/>
          <w:sz w:val="19"/>
        </w:rPr>
        <w:t>apps/api/src/hawkeye</w:t>
      </w:r>
      <w:r>
        <w:t>;</w:t>
      </w:r>
    </w:p>
    <w:p>
      <w:pPr>
        <w:spacing w:after="80" w:line="283" w:lineRule="auto"/>
        <w:ind w:left="490" w:hanging="288"/>
      </w:pPr>
      <w:r>
        <w:t xml:space="preserve">•  </w:t>
      </w:r>
      <w:r>
        <w:t xml:space="preserve">antarmuka React pada </w:t>
      </w:r>
      <w:r>
        <w:rPr>
          <w:rFonts w:ascii="Consolas" w:hAnsi="Consolas"/>
          <w:color w:val="1F4D78"/>
          <w:sz w:val="19"/>
        </w:rPr>
        <w:t>apps/web</w:t>
      </w:r>
      <w:r>
        <w:t>;</w:t>
      </w:r>
    </w:p>
    <w:p>
      <w:pPr>
        <w:spacing w:after="80" w:line="283" w:lineRule="auto"/>
        <w:ind w:left="490" w:hanging="288"/>
      </w:pPr>
      <w:r>
        <w:t xml:space="preserve">•  </w:t>
      </w:r>
      <w:r>
        <w:t xml:space="preserve">situs presentasi Astro pada </w:t>
      </w:r>
      <w:r>
        <w:rPr>
          <w:rFonts w:ascii="Consolas" w:hAnsi="Consolas"/>
          <w:color w:val="1F4D78"/>
          <w:sz w:val="19"/>
        </w:rPr>
        <w:t>apps/marketing</w:t>
      </w:r>
      <w:r>
        <w:t>;</w:t>
      </w:r>
    </w:p>
    <w:p>
      <w:pPr>
        <w:spacing w:after="80" w:line="283" w:lineRule="auto"/>
        <w:ind w:left="490" w:hanging="288"/>
      </w:pPr>
      <w:r>
        <w:t xml:space="preserve">•  </w:t>
      </w:r>
      <w:r>
        <w:t xml:space="preserve">package internal </w:t>
      </w:r>
      <w:r>
        <w:rPr>
          <w:rFonts w:ascii="Consolas" w:hAnsi="Consolas"/>
          <w:color w:val="1F4D78"/>
          <w:sz w:val="19"/>
        </w:rPr>
        <w:t>@hawkeye/brand</w:t>
      </w:r>
      <w:r>
        <w:t xml:space="preserve">, </w:t>
      </w:r>
      <w:r>
        <w:rPr>
          <w:rFonts w:ascii="Consolas" w:hAnsi="Consolas"/>
          <w:color w:val="1F4D78"/>
          <w:sz w:val="19"/>
        </w:rPr>
        <w:t>@hawkeye/design</w:t>
      </w:r>
      <w:r>
        <w:t xml:space="preserve">, </w:t>
      </w:r>
      <w:r>
        <w:rPr>
          <w:rFonts w:ascii="Consolas" w:hAnsi="Consolas"/>
          <w:color w:val="1F4D78"/>
          <w:sz w:val="19"/>
        </w:rPr>
        <w:t>@hawkeye/graph</w:t>
      </w:r>
      <w:r>
        <w:t>, dan</w:t>
      </w:r>
    </w:p>
    <w:p>
      <w:r>
        <w:rPr>
          <w:rFonts w:ascii="Consolas" w:hAnsi="Consolas"/>
          <w:color w:val="1F4D78"/>
          <w:sz w:val="19"/>
        </w:rPr>
        <w:t>@hawkeye/ui</w:t>
      </w:r>
      <w:r>
        <w:t>;</w:t>
      </w:r>
    </w:p>
    <w:p>
      <w:pPr>
        <w:spacing w:after="80" w:line="283" w:lineRule="auto"/>
        <w:ind w:left="490" w:hanging="288"/>
      </w:pPr>
      <w:r>
        <w:t xml:space="preserve">•  </w:t>
      </w:r>
      <w:r>
        <w:t>skrip build/evaluasi, pengujian, fixture sintetik, dan dokumentasi proyek</w:t>
      </w:r>
    </w:p>
    <w:p>
      <w:r>
        <w:t>sejauh haknya dimiliki kontributor proyek.</w:t>
      </w:r>
    </w:p>
    <w:p>
      <w:pPr>
        <w:pStyle w:val="Heading2"/>
      </w:pPr>
      <w:r>
        <w:t>3. Yang tidak dilisensikan ulang sebagai MIT</w:t>
      </w:r>
    </w:p>
    <w:p>
      <w:r>
        <w:t xml:space="preserve">Adopsi ini tidak mengubah lisensi library, font, ikon, runtime, browser, tool build, data, logo pihak ketiga, maupun komponen lain yang haknya dimiliki pihak lain. Komponen tersebut tetap tunduk pada lisensi upstream masing-masing. Inventaris dan kewajiban notice dicatat dalam </w:t>
      </w:r>
      <w:r>
        <w:rPr>
          <w:rFonts w:ascii="Consolas" w:hAnsi="Consolas"/>
          <w:color w:val="1F4D78"/>
          <w:sz w:val="19"/>
        </w:rPr>
        <w:t>THIRD_PARTY_NOTICES.md</w:t>
      </w:r>
      <w:r>
        <w:t xml:space="preserve"> dan </w:t>
      </w:r>
      <w:r>
        <w:rPr>
          <w:rFonts w:ascii="Consolas" w:hAnsi="Consolas"/>
          <w:color w:val="1F4D78"/>
          <w:sz w:val="19"/>
        </w:rPr>
        <w:t>gemastik-2026/LIBRARIES_AND_LICENSES.md</w:t>
      </w:r>
      <w:r>
        <w:t>.</w:t>
      </w:r>
    </w:p>
    <w:p>
      <w:r>
        <w:t xml:space="preserve">Materi hasil koleksi web juga bukan karya yang otomatis dilisensikan ulang oleh proyek. Artefak koleksi digunakan sebagai bukti lokal sesuai izin, hukum, dan ketentuan sumber yang berlaku. Paket Gemastik hanya menggunakan fixture </w:t>
      </w:r>
      <w:r>
        <w:rPr>
          <w:rFonts w:ascii="Consolas" w:hAnsi="Consolas"/>
          <w:color w:val="1F4D78"/>
          <w:sz w:val="19"/>
        </w:rPr>
        <w:t>.invalid</w:t>
      </w:r>
      <w:r>
        <w:t xml:space="preserve"> yang disanitasi; tidak menyertakan tangkapan situs judi langsung atau data pribadi.</w:t>
      </w:r>
    </w:p>
    <w:p>
      <w:pPr>
        <w:pStyle w:val="Heading2"/>
      </w:pPr>
      <w:r>
        <w:t>4. Penerapan dalam distribusi</w:t>
      </w:r>
    </w:p>
    <w:p>
      <w:r>
        <w:t>Setiap distribusi source, wheel, container, portable ZIP, atau installer harus:</w:t>
      </w:r>
    </w:p>
    <w:p>
      <w:pPr>
        <w:spacing w:after="80" w:line="283" w:lineRule="auto"/>
        <w:ind w:left="576" w:hanging="403"/>
      </w:pPr>
      <w:r>
        <w:t xml:space="preserve">1.  </w:t>
      </w:r>
      <w:r>
        <w:t xml:space="preserve">menyertakan teks </w:t>
      </w:r>
      <w:r>
        <w:rPr>
          <w:rFonts w:ascii="Consolas" w:hAnsi="Consolas"/>
          <w:color w:val="1F4D78"/>
          <w:sz w:val="19"/>
        </w:rPr>
        <w:t>LICENSE</w:t>
      </w:r>
      <w:r>
        <w:t xml:space="preserve"> proyek;</w:t>
      </w:r>
    </w:p>
    <w:p>
      <w:pPr>
        <w:spacing w:after="80" w:line="283" w:lineRule="auto"/>
        <w:ind w:left="576" w:hanging="403"/>
      </w:pPr>
      <w:r>
        <w:t xml:space="preserve">2.  </w:t>
      </w:r>
      <w:r>
        <w:t>mempertahankan pemberitahuan hak cipta dan izin MIT;</w:t>
      </w:r>
    </w:p>
    <w:p>
      <w:pPr>
        <w:spacing w:after="80" w:line="283" w:lineRule="auto"/>
        <w:ind w:left="576" w:hanging="403"/>
      </w:pPr>
      <w:r>
        <w:t xml:space="preserve">3.  </w:t>
      </w:r>
      <w:r>
        <w:t xml:space="preserve">menyertakan </w:t>
      </w:r>
      <w:r>
        <w:rPr>
          <w:rFonts w:ascii="Consolas" w:hAnsi="Consolas"/>
          <w:color w:val="1F4D78"/>
          <w:sz w:val="19"/>
        </w:rPr>
        <w:t>THIRD_PARTY_NOTICES.md</w:t>
      </w:r>
      <w:r>
        <w:t xml:space="preserve"> dan teks lisensi/notice upstream yang</w:t>
      </w:r>
    </w:p>
    <w:p>
      <w:r>
        <w:t>berlaku pada komponen yang benar-benar didistribusikan;</w:t>
      </w:r>
    </w:p>
    <w:p>
      <w:pPr>
        <w:spacing w:after="80" w:line="283" w:lineRule="auto"/>
        <w:ind w:left="576" w:hanging="403"/>
      </w:pPr>
      <w:r>
        <w:t xml:space="preserve">4.  </w:t>
      </w:r>
      <w:r>
        <w:t>mempertahankan kewajiban OFL, LGPL, MPL, Apache, BSD, CC, PSF, dan lisensi</w:t>
      </w:r>
    </w:p>
    <w:p>
      <w:r>
        <w:t>lainnya tanpa menggantinya dengan lisensi MIT proyek;</w:t>
      </w:r>
    </w:p>
    <w:p>
      <w:pPr>
        <w:spacing w:after="80" w:line="283" w:lineRule="auto"/>
        <w:ind w:left="576" w:hanging="403"/>
      </w:pPr>
      <w:r>
        <w:t xml:space="preserve">5.  </w:t>
      </w:r>
      <w:r>
        <w:t>mendokumentasikan perubahan jika distribusi memodifikasi source proyek;</w:t>
      </w:r>
    </w:p>
    <w:p>
      <w:pPr>
        <w:spacing w:after="80" w:line="283" w:lineRule="auto"/>
        <w:ind w:left="576" w:hanging="403"/>
      </w:pPr>
      <w:r>
        <w:t xml:space="preserve">6.  </w:t>
      </w:r>
      <w:r>
        <w:t xml:space="preserve">menjalankan audit ulang ketika </w:t>
      </w:r>
      <w:r>
        <w:rPr>
          <w:rFonts w:ascii="Consolas" w:hAnsi="Consolas"/>
          <w:color w:val="1F4D78"/>
          <w:sz w:val="19"/>
        </w:rPr>
        <w:t>uv.lock</w:t>
      </w:r>
      <w:r>
        <w:t xml:space="preserve">, </w:t>
      </w:r>
      <w:r>
        <w:rPr>
          <w:rFonts w:ascii="Consolas" w:hAnsi="Consolas"/>
          <w:color w:val="1F4D78"/>
          <w:sz w:val="19"/>
        </w:rPr>
        <w:t>pnpm-lock.yaml</w:t>
      </w:r>
      <w:r>
        <w:t>, browser bundle,</w:t>
      </w:r>
    </w:p>
    <w:p>
      <w:r>
        <w:t>font, OCR, atau toolchain pemaketan berubah.</w:t>
      </w:r>
    </w:p>
    <w:p>
      <w:r>
        <w:t>Khusus distribusi Windows, pengecualian bootloader PyInstaller dan kewajiban LGPL pystray dipertahankan. Bundle Chromium harus membawa lisensi BSD dan third-party notices yang sesuai. Build tanpa Tesseract tidak boleh mengklaim OCR lokal tersedia; build yang menyertakannya harus membawa notice Apache-2.0.</w:t>
      </w:r>
    </w:p>
    <w:p>
      <w:pPr>
        <w:pStyle w:val="Heading2"/>
      </w:pPr>
      <w:r>
        <w:t>5. Hubungan lisensi dengan batas produk</w:t>
      </w:r>
    </w:p>
    <w:p>
      <w:r>
        <w:t>Lisensi MIT adalah izin penggunaan karya, bukan jaminan akurasi hasil investigasi dan bukan pembenaran untuk melanggar kontrol akses. HAWK-EYE tetap dibatasi pada koleksi publik, read-only, policy-gated. Kandidat adalah lead yang menunggu review manusia; similarity adalah kemiripan bukti, bukan probabilitas kepemilikan; jumlah indikator adalah hitungan item bukti, bukan vonis legal.</w:t>
      </w:r>
    </w:p>
    <w:p>
      <w:r>
        <w:t>Lisensi ini juga tidak memperluas konsol localhost menjadi layanan publik. Autentikasi, otorisasi multi-user, deployment publik, dan threat model produksi memerlukan keputusan terpisah.</w:t>
      </w:r>
    </w:p>
    <w:p>
      <w:pPr>
        <w:pStyle w:val="Heading2"/>
      </w:pPr>
      <w:r>
        <w:t>6. Bukti implementasi adopsi</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2520"/>
            <w:tcMar>
              <w:top w:w="80" w:type="dxa"/>
              <w:start w:w="120" w:type="dxa"/>
              <w:bottom w:w="80" w:type="dxa"/>
              <w:end w:w="120" w:type="dxa"/>
            </w:tcMar>
            <w:vAlign w:val="center"/>
            <w:shd w:fill="E8EEF5"/>
          </w:tcPr>
          <w:p>
            <w:pPr>
              <w:spacing w:after="0" w:line="252" w:lineRule="auto"/>
            </w:pPr>
            <w:r>
              <w:rPr>
                <w:b/>
                <w:color w:val="1F4D78"/>
                <w:sz w:val="17"/>
              </w:rPr>
              <w:t>Kontrol</w:t>
            </w:r>
          </w:p>
        </w:tc>
        <w:tc>
          <w:tcPr>
            <w:tcW w:type="dxa" w:w="1728"/>
            <w:tcMar>
              <w:top w:w="80" w:type="dxa"/>
              <w:start w:w="120" w:type="dxa"/>
              <w:bottom w:w="80" w:type="dxa"/>
              <w:end w:w="120" w:type="dxa"/>
            </w:tcMar>
            <w:vAlign w:val="center"/>
            <w:shd w:fill="E8EEF5"/>
          </w:tcPr>
          <w:p>
            <w:pPr>
              <w:spacing w:after="0" w:line="252" w:lineRule="auto"/>
            </w:pPr>
            <w:r>
              <w:rPr>
                <w:b/>
                <w:color w:val="1F4D78"/>
                <w:sz w:val="17"/>
              </w:rPr>
              <w:t>Bukti di repositori</w:t>
            </w:r>
          </w:p>
        </w:tc>
        <w:tc>
          <w:tcPr>
            <w:tcW w:type="dxa" w:w="5717"/>
            <w:tcMar>
              <w:top w:w="80" w:type="dxa"/>
              <w:start w:w="120" w:type="dxa"/>
              <w:bottom w:w="80" w:type="dxa"/>
              <w:end w:w="120" w:type="dxa"/>
            </w:tcMar>
            <w:vAlign w:val="center"/>
            <w:shd w:fill="E8EEF5"/>
          </w:tcPr>
          <w:p>
            <w:pPr>
              <w:spacing w:after="0" w:line="252" w:lineRule="auto"/>
            </w:pPr>
            <w:r>
              <w:rPr>
                <w:b/>
                <w:color w:val="1F4D78"/>
                <w:sz w:val="17"/>
              </w:rPr>
              <w:t>Status snapshot</w:t>
            </w:r>
          </w:p>
        </w:tc>
      </w:tr>
      <w:tr>
        <w:trPr>
          <w:cantSplit/>
        </w:trPr>
        <w:tc>
          <w:tcPr>
            <w:tcW w:type="dxa" w:w="2520"/>
            <w:tcMar>
              <w:top w:w="80" w:type="dxa"/>
              <w:start w:w="120" w:type="dxa"/>
              <w:bottom w:w="80" w:type="dxa"/>
              <w:end w:w="120" w:type="dxa"/>
            </w:tcMar>
            <w:vAlign w:val="center"/>
          </w:tcPr>
          <w:p>
            <w:pPr>
              <w:spacing w:after="0" w:line="252" w:lineRule="auto"/>
            </w:pPr>
            <w:r>
              <w:rPr>
                <w:sz w:val="17"/>
              </w:rPr>
              <w:t>Teks lisensi proyek</w:t>
            </w:r>
          </w:p>
        </w:tc>
        <w:tc>
          <w:tcPr>
            <w:tcW w:type="dxa" w:w="1728"/>
            <w:tcMar>
              <w:top w:w="80" w:type="dxa"/>
              <w:start w:w="120" w:type="dxa"/>
              <w:bottom w:w="80" w:type="dxa"/>
              <w:end w:w="120" w:type="dxa"/>
            </w:tcMar>
            <w:vAlign w:val="center"/>
          </w:tcPr>
          <w:p>
            <w:pPr>
              <w:spacing w:after="0" w:line="252" w:lineRule="auto"/>
            </w:pPr>
            <w:r>
              <w:rPr>
                <w:rFonts w:ascii="Consolas" w:hAnsi="Consolas"/>
                <w:color w:val="1F4D78"/>
                <w:sz w:val="17"/>
              </w:rPr>
              <w:t>LICENSE</w:t>
            </w:r>
          </w:p>
        </w:tc>
        <w:tc>
          <w:tcPr>
            <w:tcW w:type="dxa" w:w="5717"/>
            <w:tcMar>
              <w:top w:w="80" w:type="dxa"/>
              <w:start w:w="120" w:type="dxa"/>
              <w:bottom w:w="80" w:type="dxa"/>
              <w:end w:w="120" w:type="dxa"/>
            </w:tcMar>
            <w:vAlign w:val="center"/>
          </w:tcPr>
          <w:p>
            <w:pPr>
              <w:spacing w:after="0" w:line="252" w:lineRule="auto"/>
            </w:pPr>
            <w:r>
              <w:rPr>
                <w:sz w:val="17"/>
              </w:rPr>
              <w:t>Diadopsi</w:t>
            </w:r>
          </w:p>
        </w:tc>
      </w:tr>
      <w:tr>
        <w:trPr>
          <w:cantSplit/>
        </w:trPr>
        <w:tc>
          <w:tcPr>
            <w:tcW w:type="dxa" w:w="2520"/>
            <w:tcMar>
              <w:top w:w="80" w:type="dxa"/>
              <w:start w:w="120" w:type="dxa"/>
              <w:bottom w:w="80" w:type="dxa"/>
              <w:end w:w="120" w:type="dxa"/>
            </w:tcMar>
            <w:vAlign w:val="center"/>
            <w:shd w:fill="F4F6F9"/>
          </w:tcPr>
          <w:p>
            <w:pPr>
              <w:spacing w:after="0" w:line="252" w:lineRule="auto"/>
            </w:pPr>
            <w:r>
              <w:rPr>
                <w:sz w:val="17"/>
              </w:rPr>
              <w:t>Metadata JavaScript</w:t>
            </w:r>
          </w:p>
        </w:tc>
        <w:tc>
          <w:tcPr>
            <w:tcW w:type="dxa" w:w="1728"/>
            <w:tcMar>
              <w:top w:w="80" w:type="dxa"/>
              <w:start w:w="120" w:type="dxa"/>
              <w:bottom w:w="80" w:type="dxa"/>
              <w:end w:w="120" w:type="dxa"/>
            </w:tcMar>
            <w:vAlign w:val="center"/>
            <w:shd w:fill="F4F6F9"/>
          </w:tcPr>
          <w:p>
            <w:pPr>
              <w:spacing w:after="0" w:line="252" w:lineRule="auto"/>
            </w:pPr>
            <w:r>
              <w:rPr>
                <w:rFonts w:ascii="Consolas" w:hAnsi="Consolas"/>
                <w:color w:val="1F4D78"/>
                <w:sz w:val="17"/>
              </w:rPr>
              <w:t>package.json</w:t>
            </w:r>
            <w:r>
              <w:rPr>
                <w:sz w:val="17"/>
              </w:rPr>
              <w:t xml:space="preserve"> → </w:t>
            </w:r>
            <w:r>
              <w:rPr>
                <w:rFonts w:ascii="Consolas" w:hAnsi="Consolas"/>
                <w:color w:val="1F4D78"/>
                <w:sz w:val="17"/>
              </w:rPr>
              <w:t>license: MIT</w:t>
            </w:r>
          </w:p>
        </w:tc>
        <w:tc>
          <w:tcPr>
            <w:tcW w:type="dxa" w:w="5717"/>
            <w:tcMar>
              <w:top w:w="80" w:type="dxa"/>
              <w:start w:w="120" w:type="dxa"/>
              <w:bottom w:w="80" w:type="dxa"/>
              <w:end w:w="120" w:type="dxa"/>
            </w:tcMar>
            <w:vAlign w:val="center"/>
            <w:shd w:fill="F4F6F9"/>
          </w:tcPr>
          <w:p>
            <w:pPr>
              <w:spacing w:after="0" w:line="252" w:lineRule="auto"/>
            </w:pPr>
            <w:r>
              <w:rPr>
                <w:sz w:val="17"/>
              </w:rPr>
              <w:t>Diadopsi</w:t>
            </w:r>
          </w:p>
        </w:tc>
      </w:tr>
      <w:tr>
        <w:trPr>
          <w:cantSplit/>
        </w:trPr>
        <w:tc>
          <w:tcPr>
            <w:tcW w:type="dxa" w:w="2520"/>
            <w:tcMar>
              <w:top w:w="80" w:type="dxa"/>
              <w:start w:w="120" w:type="dxa"/>
              <w:bottom w:w="80" w:type="dxa"/>
              <w:end w:w="120" w:type="dxa"/>
            </w:tcMar>
            <w:vAlign w:val="center"/>
          </w:tcPr>
          <w:p>
            <w:pPr>
              <w:spacing w:after="0" w:line="252" w:lineRule="auto"/>
            </w:pPr>
            <w:r>
              <w:rPr>
                <w:sz w:val="17"/>
              </w:rPr>
              <w:t>Metadata Python</w:t>
            </w:r>
          </w:p>
        </w:tc>
        <w:tc>
          <w:tcPr>
            <w:tcW w:type="dxa" w:w="1728"/>
            <w:tcMar>
              <w:top w:w="80" w:type="dxa"/>
              <w:start w:w="120" w:type="dxa"/>
              <w:bottom w:w="80" w:type="dxa"/>
              <w:end w:w="120" w:type="dxa"/>
            </w:tcMar>
            <w:vAlign w:val="center"/>
          </w:tcPr>
          <w:p>
            <w:pPr>
              <w:spacing w:after="0" w:line="252" w:lineRule="auto"/>
            </w:pPr>
            <w:r>
              <w:rPr>
                <w:rFonts w:ascii="Consolas" w:hAnsi="Consolas"/>
                <w:color w:val="1F4D78"/>
                <w:sz w:val="17"/>
              </w:rPr>
              <w:t>pyproject.toml</w:t>
            </w:r>
            <w:r>
              <w:rPr>
                <w:sz w:val="17"/>
              </w:rPr>
              <w:t xml:space="preserve"> → </w:t>
            </w:r>
            <w:r>
              <w:rPr>
                <w:rFonts w:ascii="Consolas" w:hAnsi="Consolas"/>
                <w:color w:val="1F4D78"/>
                <w:sz w:val="17"/>
              </w:rPr>
              <w:t>license = "MIT"</w:t>
            </w:r>
          </w:p>
        </w:tc>
        <w:tc>
          <w:tcPr>
            <w:tcW w:type="dxa" w:w="5717"/>
            <w:tcMar>
              <w:top w:w="80" w:type="dxa"/>
              <w:start w:w="120" w:type="dxa"/>
              <w:bottom w:w="80" w:type="dxa"/>
              <w:end w:w="120" w:type="dxa"/>
            </w:tcMar>
            <w:vAlign w:val="center"/>
          </w:tcPr>
          <w:p>
            <w:pPr>
              <w:spacing w:after="0" w:line="252" w:lineRule="auto"/>
            </w:pPr>
            <w:r>
              <w:rPr>
                <w:sz w:val="17"/>
              </w:rPr>
              <w:t>Diadopsi</w:t>
            </w:r>
          </w:p>
        </w:tc>
      </w:tr>
      <w:tr>
        <w:trPr>
          <w:cantSplit/>
        </w:trPr>
        <w:tc>
          <w:tcPr>
            <w:tcW w:type="dxa" w:w="2520"/>
            <w:tcMar>
              <w:top w:w="80" w:type="dxa"/>
              <w:start w:w="120" w:type="dxa"/>
              <w:bottom w:w="80" w:type="dxa"/>
              <w:end w:w="120" w:type="dxa"/>
            </w:tcMar>
            <w:vAlign w:val="center"/>
            <w:shd w:fill="F4F6F9"/>
          </w:tcPr>
          <w:p>
            <w:pPr>
              <w:spacing w:after="0" w:line="252" w:lineRule="auto"/>
            </w:pPr>
            <w:r>
              <w:rPr>
                <w:sz w:val="17"/>
              </w:rPr>
              <w:t>Inventaris komponen</w:t>
            </w:r>
          </w:p>
        </w:tc>
        <w:tc>
          <w:tcPr>
            <w:tcW w:type="dxa" w:w="1728"/>
            <w:tcMar>
              <w:top w:w="80" w:type="dxa"/>
              <w:start w:w="120" w:type="dxa"/>
              <w:bottom w:w="80" w:type="dxa"/>
              <w:end w:w="120" w:type="dxa"/>
            </w:tcMar>
            <w:vAlign w:val="center"/>
            <w:shd w:fill="F4F6F9"/>
          </w:tcPr>
          <w:p>
            <w:pPr>
              <w:spacing w:after="0" w:line="252" w:lineRule="auto"/>
            </w:pPr>
            <w:r>
              <w:rPr>
                <w:rFonts w:ascii="Consolas" w:hAnsi="Consolas"/>
                <w:color w:val="1F4D78"/>
                <w:sz w:val="17"/>
              </w:rPr>
              <w:t>gemastik-2026/LIBRARIES_AND_LICENSES.md</w:t>
            </w:r>
          </w:p>
        </w:tc>
        <w:tc>
          <w:tcPr>
            <w:tcW w:type="dxa" w:w="5717"/>
            <w:tcMar>
              <w:top w:w="80" w:type="dxa"/>
              <w:start w:w="120" w:type="dxa"/>
              <w:bottom w:w="80" w:type="dxa"/>
              <w:end w:w="120" w:type="dxa"/>
            </w:tcMar>
            <w:vAlign w:val="center"/>
            <w:shd w:fill="F4F6F9"/>
          </w:tcPr>
          <w:p>
            <w:pPr>
              <w:spacing w:after="0" w:line="252" w:lineRule="auto"/>
            </w:pPr>
            <w:r>
              <w:rPr>
                <w:sz w:val="17"/>
              </w:rPr>
              <w:t>Selesai</w:t>
            </w:r>
          </w:p>
        </w:tc>
      </w:tr>
      <w:tr>
        <w:trPr>
          <w:cantSplit/>
        </w:trPr>
        <w:tc>
          <w:tcPr>
            <w:tcW w:type="dxa" w:w="2520"/>
            <w:tcMar>
              <w:top w:w="80" w:type="dxa"/>
              <w:start w:w="120" w:type="dxa"/>
              <w:bottom w:w="80" w:type="dxa"/>
              <w:end w:w="120" w:type="dxa"/>
            </w:tcMar>
            <w:vAlign w:val="center"/>
          </w:tcPr>
          <w:p>
            <w:pPr>
              <w:spacing w:after="0" w:line="252" w:lineRule="auto"/>
            </w:pPr>
            <w:r>
              <w:rPr>
                <w:sz w:val="17"/>
              </w:rPr>
              <w:t>Notice pihak ketiga</w:t>
            </w:r>
          </w:p>
        </w:tc>
        <w:tc>
          <w:tcPr>
            <w:tcW w:type="dxa" w:w="1728"/>
            <w:tcMar>
              <w:top w:w="80" w:type="dxa"/>
              <w:start w:w="120" w:type="dxa"/>
              <w:bottom w:w="80" w:type="dxa"/>
              <w:end w:w="120" w:type="dxa"/>
            </w:tcMar>
            <w:vAlign w:val="center"/>
          </w:tcPr>
          <w:p>
            <w:pPr>
              <w:spacing w:after="0" w:line="252" w:lineRule="auto"/>
            </w:pPr>
            <w:r>
              <w:rPr>
                <w:rFonts w:ascii="Consolas" w:hAnsi="Consolas"/>
                <w:color w:val="1F4D78"/>
                <w:sz w:val="17"/>
              </w:rPr>
              <w:t>THIRD_PARTY_NOTICES.md</w:t>
            </w:r>
          </w:p>
        </w:tc>
        <w:tc>
          <w:tcPr>
            <w:tcW w:type="dxa" w:w="5717"/>
            <w:tcMar>
              <w:top w:w="80" w:type="dxa"/>
              <w:start w:w="120" w:type="dxa"/>
              <w:bottom w:w="80" w:type="dxa"/>
              <w:end w:w="120" w:type="dxa"/>
            </w:tcMar>
            <w:vAlign w:val="center"/>
          </w:tcPr>
          <w:p>
            <w:pPr>
              <w:spacing w:after="0" w:line="252" w:lineRule="auto"/>
            </w:pPr>
            <w:r>
              <w:rPr>
                <w:sz w:val="17"/>
              </w:rPr>
              <w:t>Selesai untuk lock snapshot</w:t>
            </w:r>
          </w:p>
        </w:tc>
      </w:tr>
      <w:tr>
        <w:trPr>
          <w:cantSplit/>
        </w:trPr>
        <w:tc>
          <w:tcPr>
            <w:tcW w:type="dxa" w:w="2520"/>
            <w:tcMar>
              <w:top w:w="80" w:type="dxa"/>
              <w:start w:w="120" w:type="dxa"/>
              <w:bottom w:w="80" w:type="dxa"/>
              <w:end w:w="120" w:type="dxa"/>
            </w:tcMar>
            <w:vAlign w:val="center"/>
            <w:shd w:fill="F4F6F9"/>
          </w:tcPr>
          <w:p>
            <w:pPr>
              <w:spacing w:after="0" w:line="252" w:lineRule="auto"/>
            </w:pPr>
            <w:r>
              <w:rPr>
                <w:sz w:val="17"/>
              </w:rPr>
              <w:t>Rekam keputusan</w:t>
            </w:r>
          </w:p>
        </w:tc>
        <w:tc>
          <w:tcPr>
            <w:tcW w:type="dxa" w:w="1728"/>
            <w:tcMar>
              <w:top w:w="80" w:type="dxa"/>
              <w:start w:w="120" w:type="dxa"/>
              <w:bottom w:w="80" w:type="dxa"/>
              <w:end w:w="120" w:type="dxa"/>
            </w:tcMar>
            <w:vAlign w:val="center"/>
            <w:shd w:fill="F4F6F9"/>
          </w:tcPr>
          <w:p>
            <w:pPr>
              <w:spacing w:after="0" w:line="252" w:lineRule="auto"/>
            </w:pPr>
            <w:r>
              <w:rPr>
                <w:rFonts w:ascii="Consolas" w:hAnsi="Consolas"/>
                <w:color w:val="1F4D78"/>
                <w:sz w:val="17"/>
              </w:rPr>
              <w:t>docs/DECISIONS.md</w:t>
            </w:r>
            <w:r>
              <w:rPr>
                <w:sz w:val="17"/>
              </w:rPr>
              <w:t>, ADR-038</w:t>
            </w:r>
          </w:p>
        </w:tc>
        <w:tc>
          <w:tcPr>
            <w:tcW w:type="dxa" w:w="5717"/>
            <w:tcMar>
              <w:top w:w="80" w:type="dxa"/>
              <w:start w:w="120" w:type="dxa"/>
              <w:bottom w:w="80" w:type="dxa"/>
              <w:end w:w="120" w:type="dxa"/>
            </w:tcMar>
            <w:vAlign w:val="center"/>
            <w:shd w:fill="F4F6F9"/>
          </w:tcPr>
          <w:p>
            <w:pPr>
              <w:spacing w:after="0" w:line="252" w:lineRule="auto"/>
            </w:pPr>
            <w:r>
              <w:rPr>
                <w:sz w:val="17"/>
              </w:rPr>
              <w:t>Selesai</w:t>
            </w:r>
          </w:p>
        </w:tc>
      </w:tr>
    </w:tbl>
    <w:p>
      <w:pPr>
        <w:spacing w:after="0"/>
      </w:pPr>
    </w:p>
    <w:p>
      <w:pPr>
        <w:pStyle w:val="Heading2"/>
      </w:pPr>
      <w:r>
        <w:t>7. Pernyataan adopsi</w:t>
      </w:r>
    </w:p>
    <w:p>
      <w:r>
        <w:t>Mulai 13 Agustus 2026, HAWK-EYE versi 1.0.0 menggunakan MIT License untuk karya asli proyek, dengan seluruh lisensi dan notice pihak ketiga tetap berlaku secara independen. Identitas dan tanda tangan pihak yang berwenang, apabila diminta panitia, dilengkapi oleh ketua tim pada berkas pernyataan resmi.</w:t>
      </w:r>
    </w:p>
    <w:sectPr w:rsidR="00FC693F" w:rsidRPr="0006063C" w:rsidSect="00034616">
      <w:headerReference w:type="default" r:id="rId10"/>
      <w:footerReference w:type="default" r:id="rId11"/>
      <w:pgSz w:w="12240" w:h="15840"/>
      <w:pgMar w:top="1080" w:right="1123" w:bottom="1037" w:left="1123"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color w:val="667085"/>
        <w:sz w:val="16"/>
      </w:rPr>
      <w:t xml:space="preserve">AL-07  •  13 AGUSTUS 2026  •  </w:t>
    </w:r>
    <w:r>
      <w:rPr>
        <w:color w:val="667085"/>
        <w:sz w:val="16"/>
      </w:rPr>
      <w:t xml:space="preserve">Halaman </w:t>
    </w:r>
    <w:r>
      <w:rPr>
        <w:color w:val="667085"/>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8" w:space="3" w:color="EC0A6B"/>
      </w:pBdr>
    </w:pPr>
    <w:r>
      <w:rPr>
        <w:b/>
        <w:color w:val="1F4D78"/>
        <w:sz w:val="16"/>
      </w:rPr>
      <w:t>HAWK-EYE  /  GEMASTIK 2026  /  AL-07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Adopsi Lisensi</dc:title>
  <dc:subject>MIT License untuk karya asli HAWK-EYE</dc:subject>
  <dc:creator>HAWK-EYE contributors</dc:creator>
  <cp:keywords>GEMASTIK 2026, HAWK-EYE, JudolGraph, evidence, OSINT</cp:keywords>
  <dc:description>Generated from gemastik-2026\LICENSE_ADOPTION.md by a repository-tracked builder.</dc:description>
  <cp:lastModifiedBy/>
  <cp:revision>1</cp:revision>
  <dcterms:created xsi:type="dcterms:W3CDTF">2013-12-23T23:15:00Z</dcterms:created>
  <dcterms:modified xsi:type="dcterms:W3CDTF">2013-12-23T23:15:00Z</dcterms:modified>
  <cp:category/>
</cp:coreProperties>
</file>