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7705" w14:textId="49A38C8E" w:rsidR="002E68A3" w:rsidRPr="002E68A3" w:rsidRDefault="002E68A3" w:rsidP="002E68A3">
      <w:pPr>
        <w:spacing w:line="240" w:lineRule="auto"/>
        <w:contextualSpacing/>
      </w:pPr>
      <w:r w:rsidRPr="002E68A3">
        <w:t>Data 698</w:t>
      </w:r>
    </w:p>
    <w:p w14:paraId="2253FC3A" w14:textId="39F93DAC" w:rsidR="002E68A3" w:rsidRPr="002E68A3" w:rsidRDefault="002E68A3" w:rsidP="002E68A3">
      <w:pPr>
        <w:spacing w:line="240" w:lineRule="auto"/>
        <w:contextualSpacing/>
      </w:pPr>
      <w:r w:rsidRPr="002E68A3">
        <w:t>Spring 2022</w:t>
      </w:r>
    </w:p>
    <w:p w14:paraId="29BFD53D" w14:textId="55A1E9CB" w:rsidR="002E68A3" w:rsidRDefault="002E68A3" w:rsidP="002E68A3">
      <w:pPr>
        <w:spacing w:line="240" w:lineRule="auto"/>
        <w:contextualSpacing/>
        <w:rPr>
          <w:b/>
          <w:bCs/>
        </w:rPr>
      </w:pPr>
      <w:r w:rsidRPr="002E68A3">
        <w:t>Jimmy Ng</w:t>
      </w:r>
    </w:p>
    <w:p w14:paraId="3F92EEDB" w14:textId="49FC20F5" w:rsidR="002E68A3" w:rsidRPr="002E68A3" w:rsidRDefault="002E68A3" w:rsidP="002E68A3">
      <w:pPr>
        <w:spacing w:line="240" w:lineRule="auto"/>
        <w:contextualSpacing/>
      </w:pPr>
      <w:r w:rsidRPr="002E68A3">
        <w:t>2022-02-11</w:t>
      </w:r>
    </w:p>
    <w:p w14:paraId="6889229B" w14:textId="77777777" w:rsidR="002E68A3" w:rsidRDefault="002E68A3" w:rsidP="002E68A3">
      <w:pPr>
        <w:spacing w:line="240" w:lineRule="auto"/>
        <w:contextualSpacing/>
        <w:rPr>
          <w:b/>
          <w:bCs/>
        </w:rPr>
      </w:pPr>
    </w:p>
    <w:p w14:paraId="38F70E6A" w14:textId="2DA2BFCE" w:rsidR="002E68A3" w:rsidRDefault="002E68A3" w:rsidP="00C230CA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Final Project Proposal (version 1)</w:t>
      </w:r>
    </w:p>
    <w:p w14:paraId="57A50439" w14:textId="77777777" w:rsidR="002E68A3" w:rsidRDefault="002E68A3" w:rsidP="002E68A3">
      <w:pPr>
        <w:spacing w:line="240" w:lineRule="auto"/>
        <w:contextualSpacing/>
        <w:rPr>
          <w:b/>
          <w:bCs/>
        </w:rPr>
      </w:pPr>
    </w:p>
    <w:p w14:paraId="733F519B" w14:textId="3C5CA156" w:rsidR="001522D4" w:rsidRDefault="002E68A3" w:rsidP="002E68A3">
      <w:pPr>
        <w:spacing w:line="240" w:lineRule="auto"/>
        <w:contextualSpacing/>
        <w:rPr>
          <w:b/>
          <w:bCs/>
        </w:rPr>
      </w:pPr>
      <w:r w:rsidRPr="002E68A3">
        <w:rPr>
          <w:b/>
          <w:bCs/>
        </w:rPr>
        <w:t xml:space="preserve">Research </w:t>
      </w:r>
      <w:r w:rsidR="00C230CA">
        <w:rPr>
          <w:b/>
          <w:bCs/>
        </w:rPr>
        <w:t>Objective</w:t>
      </w:r>
    </w:p>
    <w:p w14:paraId="3348BD49" w14:textId="5EBA3ABC" w:rsidR="002E68A3" w:rsidRDefault="002E68A3" w:rsidP="002E68A3">
      <w:pPr>
        <w:spacing w:line="240" w:lineRule="auto"/>
        <w:contextualSpacing/>
      </w:pPr>
      <w:r>
        <w:t>What’s the best trading</w:t>
      </w:r>
      <w:r w:rsidR="00BD64B3">
        <w:t xml:space="preserve"> indicator/</w:t>
      </w:r>
      <w:r>
        <w:t>strategy</w:t>
      </w:r>
      <w:r w:rsidR="00CC5F93">
        <w:t xml:space="preserve"> in the stock market</w:t>
      </w:r>
      <w:r w:rsidR="00C230CA">
        <w:t xml:space="preserve">? </w:t>
      </w:r>
      <w:r w:rsidR="00CC5F93">
        <w:t>T</w:t>
      </w:r>
      <w:r w:rsidR="00C230CA">
        <w:t>here are</w:t>
      </w:r>
      <w:r w:rsidR="00CC5F93">
        <w:t xml:space="preserve"> broadly speaking</w:t>
      </w:r>
      <w:r w:rsidR="00C230CA">
        <w:t xml:space="preserve"> two types of technical indicators, i.e., </w:t>
      </w:r>
      <w:r w:rsidR="00C230CA" w:rsidRPr="00C230CA">
        <w:t>momentum vs oscillator</w:t>
      </w:r>
      <w:r w:rsidR="00C230CA">
        <w:t xml:space="preserve"> indicators. </w:t>
      </w:r>
      <w:r w:rsidR="00BD64B3">
        <w:t>Below is</w:t>
      </w:r>
      <w:r w:rsidR="00C230CA">
        <w:t xml:space="preserve"> a short list of</w:t>
      </w:r>
      <w:r w:rsidR="00BD64B3">
        <w:t xml:space="preserve"> some</w:t>
      </w:r>
      <w:r w:rsidR="00C230CA">
        <w:t xml:space="preserve"> popular indicators,</w:t>
      </w:r>
    </w:p>
    <w:p w14:paraId="48483BF2" w14:textId="607F09B4" w:rsidR="00C230CA" w:rsidRDefault="00C230CA" w:rsidP="00C230CA">
      <w:pPr>
        <w:pStyle w:val="ListParagraph"/>
        <w:numPr>
          <w:ilvl w:val="0"/>
          <w:numId w:val="1"/>
        </w:numPr>
        <w:spacing w:line="240" w:lineRule="auto"/>
      </w:pPr>
      <w:r>
        <w:t>Relative Strength Index (RSI)</w:t>
      </w:r>
    </w:p>
    <w:p w14:paraId="04A437C7" w14:textId="4AD90CA4" w:rsidR="00C230CA" w:rsidRDefault="00C230CA" w:rsidP="00C230CA">
      <w:pPr>
        <w:pStyle w:val="ListParagraph"/>
        <w:numPr>
          <w:ilvl w:val="0"/>
          <w:numId w:val="1"/>
        </w:numPr>
        <w:spacing w:line="240" w:lineRule="auto"/>
      </w:pPr>
      <w:r w:rsidRPr="00C230CA">
        <w:t xml:space="preserve">Moving </w:t>
      </w:r>
      <w:r w:rsidR="00BD64B3">
        <w:t>A</w:t>
      </w:r>
      <w:r w:rsidRPr="00C230CA">
        <w:t xml:space="preserve">verage </w:t>
      </w:r>
      <w:r w:rsidR="00BD64B3">
        <w:t>C</w:t>
      </w:r>
      <w:r w:rsidRPr="00C230CA">
        <w:t xml:space="preserve">onvergence </w:t>
      </w:r>
      <w:r w:rsidR="00BD64B3">
        <w:t>D</w:t>
      </w:r>
      <w:r w:rsidRPr="00C230CA">
        <w:t>ivergence (MACD)</w:t>
      </w:r>
    </w:p>
    <w:p w14:paraId="7CB10582" w14:textId="17787EB7" w:rsidR="00C230CA" w:rsidRDefault="00C230CA" w:rsidP="00C230CA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Pr="00C230CA">
        <w:t xml:space="preserve">ommodity </w:t>
      </w:r>
      <w:r>
        <w:t>C</w:t>
      </w:r>
      <w:r w:rsidRPr="00C230CA">
        <w:t xml:space="preserve">hannel </w:t>
      </w:r>
      <w:r>
        <w:t>I</w:t>
      </w:r>
      <w:r w:rsidRPr="00C230CA">
        <w:t>ndex</w:t>
      </w:r>
      <w:r>
        <w:t xml:space="preserve"> (CCI)</w:t>
      </w:r>
    </w:p>
    <w:p w14:paraId="04A1E716" w14:textId="400143C9" w:rsidR="00CC5F93" w:rsidRDefault="00CC5F93" w:rsidP="00C230CA">
      <w:pPr>
        <w:pStyle w:val="ListParagraph"/>
        <w:numPr>
          <w:ilvl w:val="0"/>
          <w:numId w:val="1"/>
        </w:numPr>
        <w:spacing w:line="240" w:lineRule="auto"/>
      </w:pPr>
      <w:r>
        <w:t>On-Balance Volume (OBV)</w:t>
      </w:r>
    </w:p>
    <w:p w14:paraId="6DC21E74" w14:textId="0B924513" w:rsidR="00C230CA" w:rsidRDefault="00CC5F93" w:rsidP="00C230CA">
      <w:pPr>
        <w:pStyle w:val="ListParagraph"/>
        <w:numPr>
          <w:ilvl w:val="0"/>
          <w:numId w:val="1"/>
        </w:numPr>
        <w:spacing w:line="240" w:lineRule="auto"/>
      </w:pPr>
      <w:r>
        <w:t>DeMark9</w:t>
      </w:r>
    </w:p>
    <w:p w14:paraId="05708F38" w14:textId="46115887" w:rsidR="00CC5F93" w:rsidRPr="002E68A3" w:rsidRDefault="00CC5F93" w:rsidP="00C230CA">
      <w:pPr>
        <w:pStyle w:val="ListParagraph"/>
        <w:numPr>
          <w:ilvl w:val="0"/>
          <w:numId w:val="1"/>
        </w:numPr>
        <w:spacing w:line="240" w:lineRule="auto"/>
      </w:pPr>
      <w:r>
        <w:t>etc.</w:t>
      </w:r>
    </w:p>
    <w:p w14:paraId="0D1CD909" w14:textId="442336B6" w:rsidR="002E68A3" w:rsidRDefault="00CC5F93" w:rsidP="002E68A3">
      <w:pPr>
        <w:spacing w:line="240" w:lineRule="auto"/>
        <w:contextualSpacing/>
      </w:pPr>
      <w:r>
        <w:t xml:space="preserve">What’s the best indicator for “entry” and “exit” strategy in terms of ROI? </w:t>
      </w:r>
    </w:p>
    <w:p w14:paraId="07E0A7DD" w14:textId="4EF6C6EE" w:rsidR="00CC5F93" w:rsidRDefault="00777EB8" w:rsidP="002E68A3">
      <w:pPr>
        <w:pStyle w:val="ListParagraph"/>
        <w:numPr>
          <w:ilvl w:val="0"/>
          <w:numId w:val="2"/>
        </w:numPr>
        <w:spacing w:line="240" w:lineRule="auto"/>
      </w:pPr>
      <w:r>
        <w:t>In addition, does any indicator work the most effectively b</w:t>
      </w:r>
      <w:r w:rsidR="00CC5F93">
        <w:t>y sector, such as “</w:t>
      </w:r>
      <w:r w:rsidR="00CC5F93" w:rsidRPr="00CC5F93">
        <w:t>Consumer Staples</w:t>
      </w:r>
      <w:r w:rsidR="00CC5F93">
        <w:t>” vs “Energy”</w:t>
      </w:r>
      <w:r>
        <w:t>?</w:t>
      </w:r>
    </w:p>
    <w:p w14:paraId="04C1A43C" w14:textId="3EE188EE" w:rsidR="002E68A3" w:rsidRPr="002E68A3" w:rsidRDefault="002E68A3" w:rsidP="002E68A3">
      <w:pPr>
        <w:spacing w:line="240" w:lineRule="auto"/>
        <w:contextualSpacing/>
        <w:rPr>
          <w:b/>
          <w:bCs/>
        </w:rPr>
      </w:pPr>
      <w:r w:rsidRPr="002E68A3">
        <w:rPr>
          <w:b/>
          <w:bCs/>
        </w:rPr>
        <w:t>Hypothesis</w:t>
      </w:r>
    </w:p>
    <w:p w14:paraId="68227445" w14:textId="3E4788D9" w:rsidR="002E68A3" w:rsidRDefault="00832F42" w:rsidP="002E68A3">
      <w:pPr>
        <w:spacing w:line="240" w:lineRule="auto"/>
        <w:contextualSpacing/>
      </w:pPr>
      <w:r w:rsidRPr="00BD72C4">
        <w:rPr>
          <w:u w:val="single"/>
        </w:rPr>
        <w:t>Null hypothesis (H</w:t>
      </w:r>
      <w:r w:rsidRPr="00BD72C4">
        <w:rPr>
          <w:u w:val="single"/>
          <w:vertAlign w:val="subscript"/>
        </w:rPr>
        <w:t>0</w:t>
      </w:r>
      <w:r w:rsidRPr="00BD72C4">
        <w:rPr>
          <w:u w:val="single"/>
        </w:rPr>
        <w:t>):</w:t>
      </w:r>
      <w:r>
        <w:t xml:space="preserve"> all indicators make no significant difference in terms of return of investment based on the signal that each generated</w:t>
      </w:r>
    </w:p>
    <w:p w14:paraId="3F584F2A" w14:textId="77777777" w:rsidR="00832F42" w:rsidRDefault="00832F42" w:rsidP="002E68A3">
      <w:pPr>
        <w:spacing w:line="240" w:lineRule="auto"/>
        <w:contextualSpacing/>
      </w:pPr>
    </w:p>
    <w:p w14:paraId="4CF8B095" w14:textId="21AB28C3" w:rsidR="00832F42" w:rsidRDefault="00832F42" w:rsidP="002E68A3">
      <w:pPr>
        <w:spacing w:line="240" w:lineRule="auto"/>
        <w:contextualSpacing/>
      </w:pPr>
      <w:r w:rsidRPr="00BD72C4">
        <w:rPr>
          <w:u w:val="single"/>
        </w:rPr>
        <w:t xml:space="preserve">Alternative </w:t>
      </w:r>
      <w:r w:rsidRPr="00BD72C4">
        <w:rPr>
          <w:u w:val="single"/>
        </w:rPr>
        <w:t>hypothesis</w:t>
      </w:r>
      <w:r w:rsidRPr="00BD72C4">
        <w:rPr>
          <w:u w:val="single"/>
        </w:rPr>
        <w:t xml:space="preserve"> (H</w:t>
      </w:r>
      <w:r w:rsidRPr="00BD72C4">
        <w:rPr>
          <w:u w:val="single"/>
          <w:vertAlign w:val="subscript"/>
        </w:rPr>
        <w:t>1</w:t>
      </w:r>
      <w:r w:rsidRPr="00BD72C4">
        <w:rPr>
          <w:u w:val="single"/>
        </w:rPr>
        <w:t>)</w:t>
      </w:r>
      <w:r w:rsidRPr="00BD72C4">
        <w:rPr>
          <w:u w:val="single"/>
        </w:rPr>
        <w:t>:</w:t>
      </w:r>
      <w:r>
        <w:t xml:space="preserve"> there’s an interaction effect, i.e., “sector” x “indicators” would </w:t>
      </w:r>
      <w:r w:rsidR="00BD72C4">
        <w:t>make a significant difference for ROI</w:t>
      </w:r>
    </w:p>
    <w:p w14:paraId="210DE8A6" w14:textId="77777777" w:rsidR="00832F42" w:rsidRDefault="00832F42" w:rsidP="002E68A3">
      <w:pPr>
        <w:spacing w:line="240" w:lineRule="auto"/>
        <w:contextualSpacing/>
      </w:pPr>
    </w:p>
    <w:p w14:paraId="3E363CE6" w14:textId="2D5A2FD6" w:rsidR="00832F42" w:rsidRPr="002E68A3" w:rsidRDefault="00832F42" w:rsidP="002E68A3">
      <w:pPr>
        <w:spacing w:line="240" w:lineRule="auto"/>
        <w:contextualSpacing/>
        <w:rPr>
          <w:b/>
          <w:bCs/>
        </w:rPr>
      </w:pPr>
      <w:r>
        <w:rPr>
          <w:b/>
          <w:bCs/>
        </w:rPr>
        <w:t>Methodology</w:t>
      </w:r>
    </w:p>
    <w:p w14:paraId="1C6FBC5C" w14:textId="5BDE0262" w:rsidR="00BD72C4" w:rsidRDefault="00BD72C4" w:rsidP="00BD72C4">
      <w:pPr>
        <w:spacing w:line="240" w:lineRule="auto"/>
        <w:contextualSpacing/>
        <w:rPr>
          <w:b/>
          <w:bCs/>
        </w:rPr>
      </w:pPr>
      <w:r>
        <w:t>We can do simulation using historical data of the SP500. Let’s begin the simulation of investing $10</w:t>
      </w:r>
      <w:r w:rsidR="00920D7E">
        <w:t>,</w:t>
      </w:r>
      <w:r>
        <w:t>00</w:t>
      </w:r>
      <w:r w:rsidR="00920D7E">
        <w:t>0</w:t>
      </w:r>
      <w:r>
        <w:t xml:space="preserve"> in January 2010 for each of the stock. The trading decision (“entry”, “exit”) is based on the indicators. At the end,</w:t>
      </w:r>
      <w:r w:rsidR="00920D7E">
        <w:t xml:space="preserve"> say in</w:t>
      </w:r>
      <w:r>
        <w:t xml:space="preserve"> January 2022, we can measure the ROI of each stock. </w:t>
      </w:r>
      <w:r>
        <w:br/>
      </w:r>
      <w:r>
        <w:br/>
        <w:t>Subsequently, we can apply ANOVA to compare the effectiveness of the indicators</w:t>
      </w:r>
      <w:r w:rsidR="00942604">
        <w:t xml:space="preserve"> x sectors</w:t>
      </w:r>
      <w:r>
        <w:t xml:space="preserve">. </w:t>
      </w:r>
      <w:r w:rsidR="00777EB8">
        <w:t xml:space="preserve">We can possibly extend the analysis to different types of commodities or </w:t>
      </w:r>
      <w:r w:rsidR="00777EB8" w:rsidRPr="00777EB8">
        <w:t>cryptocurrency</w:t>
      </w:r>
      <w:r w:rsidR="00777EB8">
        <w:t xml:space="preserve">, or small-cap stock market index (such as the Russell 2000). </w:t>
      </w:r>
      <w:r w:rsidR="00777EB8">
        <w:br/>
      </w:r>
      <w:r w:rsidR="00777EB8">
        <w:br/>
      </w:r>
      <w:r w:rsidR="00942604">
        <w:rPr>
          <w:b/>
          <w:bCs/>
        </w:rPr>
        <w:t xml:space="preserve">Sample </w:t>
      </w:r>
      <w:r w:rsidRPr="002E68A3">
        <w:rPr>
          <w:b/>
          <w:bCs/>
        </w:rPr>
        <w:t>Data</w:t>
      </w:r>
    </w:p>
    <w:p w14:paraId="2E59C34D" w14:textId="4FECDF56" w:rsidR="00777EB8" w:rsidRPr="00942604" w:rsidRDefault="00724574" w:rsidP="00BD72C4">
      <w:pPr>
        <w:spacing w:line="240" w:lineRule="auto"/>
        <w:contextualSpacing/>
      </w:pPr>
      <w:r>
        <w:t xml:space="preserve">This is open-source data, e.g., </w:t>
      </w:r>
      <w:proofErr w:type="spellStart"/>
      <w:r>
        <w:t>quantmod</w:t>
      </w:r>
      <w:proofErr w:type="spellEnd"/>
      <w:r>
        <w:t xml:space="preserve">. </w:t>
      </w:r>
      <w:r w:rsidR="00942604">
        <w:t>Here’s just a mock-up of what the data frame would look like</w:t>
      </w:r>
      <w:r>
        <w:t xml:space="preserve"> for the experimental simulation</w:t>
      </w:r>
      <w:r w:rsidR="00942604">
        <w:t>,</w:t>
      </w:r>
      <w:r w:rsidR="00942604">
        <w:br/>
      </w:r>
    </w:p>
    <w:tbl>
      <w:tblPr>
        <w:tblW w:w="11271" w:type="dxa"/>
        <w:tblLook w:val="04A0" w:firstRow="1" w:lastRow="0" w:firstColumn="1" w:lastColumn="0" w:noHBand="0" w:noVBand="1"/>
      </w:tblPr>
      <w:tblGrid>
        <w:gridCol w:w="1007"/>
        <w:gridCol w:w="2137"/>
        <w:gridCol w:w="2137"/>
        <w:gridCol w:w="1198"/>
        <w:gridCol w:w="1198"/>
        <w:gridCol w:w="1198"/>
        <w:gridCol w:w="1198"/>
        <w:gridCol w:w="1198"/>
      </w:tblGrid>
      <w:tr w:rsidR="00777EB8" w:rsidRPr="00777EB8" w14:paraId="28AE6394" w14:textId="77777777" w:rsidTr="00777EB8">
        <w:trPr>
          <w:trHeight w:val="254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3CE9" w14:textId="77777777" w:rsidR="00777EB8" w:rsidRPr="00777EB8" w:rsidRDefault="00777EB8" w:rsidP="00777EB8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</w:pPr>
            <w:r w:rsidRPr="00777EB8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  <w:t>symbol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8B9D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company_name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DF1F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sector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A758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RSI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0D9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MACD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78F3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OBV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CAE2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DeMark9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1A51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EB8">
              <w:rPr>
                <w:rFonts w:ascii="Calibri" w:eastAsia="Times New Roman" w:hAnsi="Calibri" w:cs="Calibri"/>
                <w:b/>
                <w:bCs/>
                <w:color w:val="000000"/>
              </w:rPr>
              <w:t>etc.</w:t>
            </w:r>
          </w:p>
        </w:tc>
      </w:tr>
      <w:tr w:rsidR="00777EB8" w:rsidRPr="00777EB8" w14:paraId="22566EB8" w14:textId="77777777" w:rsidTr="00777EB8">
        <w:trPr>
          <w:trHeight w:val="254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E98D" w14:textId="77777777" w:rsidR="00777EB8" w:rsidRPr="00777EB8" w:rsidRDefault="00777EB8" w:rsidP="00777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</w:pPr>
            <w:r w:rsidRPr="00777EB8"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9652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Agilent Technologies Inc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A84C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Health Care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3A6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$15,000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218D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$16,500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0DCA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$32,000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E9FB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$42,000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15BB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…</w:t>
            </w:r>
          </w:p>
        </w:tc>
      </w:tr>
      <w:tr w:rsidR="00777EB8" w:rsidRPr="00777EB8" w14:paraId="3FE746C8" w14:textId="77777777" w:rsidTr="00777EB8">
        <w:trPr>
          <w:trHeight w:val="254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3CC4" w14:textId="77777777" w:rsidR="00777EB8" w:rsidRPr="00777EB8" w:rsidRDefault="00777EB8" w:rsidP="00777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</w:pPr>
            <w:r w:rsidRPr="00777EB8"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  <w:t>AAL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26AF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American Airlines Group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EE99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Industrials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5A6B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$20,000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97DB" w14:textId="39BE251D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$</w:t>
            </w: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9</w:t>
            </w: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 xml:space="preserve">,500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965C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$20,000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0D2E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$12,000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BAC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…</w:t>
            </w:r>
          </w:p>
        </w:tc>
      </w:tr>
      <w:tr w:rsidR="00777EB8" w:rsidRPr="00777EB8" w14:paraId="33E5CFD2" w14:textId="77777777" w:rsidTr="00777EB8">
        <w:trPr>
          <w:trHeight w:val="254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4392" w14:textId="77777777" w:rsidR="00777EB8" w:rsidRPr="00777EB8" w:rsidRDefault="00777EB8" w:rsidP="00777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</w:pPr>
            <w:r w:rsidRPr="00777EB8"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  <w:t>AAP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F481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Advance Auto Parts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E91C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Consumer Discretionary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8E8B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$35,000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4D41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$32,000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7986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$35,000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EB64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$56,000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0969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…</w:t>
            </w:r>
          </w:p>
        </w:tc>
      </w:tr>
      <w:tr w:rsidR="00777EB8" w:rsidRPr="00777EB8" w14:paraId="6248BEC1" w14:textId="77777777" w:rsidTr="00777EB8">
        <w:trPr>
          <w:trHeight w:val="254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7A7E" w14:textId="77777777" w:rsidR="00777EB8" w:rsidRPr="00777EB8" w:rsidRDefault="00777EB8" w:rsidP="00777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</w:pPr>
            <w:r w:rsidRPr="00777EB8"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  <w:t>AAPL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E706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Apple Inc.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B44F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Information Technology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2074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$45,000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CF3D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$76,000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53D7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$45,000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4289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$32,000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5D1B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…</w:t>
            </w:r>
          </w:p>
        </w:tc>
      </w:tr>
      <w:tr w:rsidR="00777EB8" w:rsidRPr="00777EB8" w14:paraId="06D56BA3" w14:textId="77777777" w:rsidTr="00777EB8">
        <w:trPr>
          <w:trHeight w:val="254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EC53" w14:textId="77777777" w:rsidR="00777EB8" w:rsidRPr="00777EB8" w:rsidRDefault="00777EB8" w:rsidP="00777EB8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</w:pPr>
            <w:r w:rsidRPr="00777EB8">
              <w:rPr>
                <w:rFonts w:ascii="Arial Unicode MS" w:eastAsia="Times New Roman" w:hAnsi="Arial Unicode MS" w:cs="Calibri"/>
                <w:color w:val="000000"/>
                <w:sz w:val="18"/>
                <w:szCs w:val="18"/>
              </w:rPr>
              <w:t>ABBV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E971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AbbVie Inc.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437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Health Care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2EF5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 xml:space="preserve">$9,000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6C4E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 xml:space="preserve">$4,000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DD8D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 xml:space="preserve">$7,500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55BF" w14:textId="77777777" w:rsidR="00777EB8" w:rsidRPr="00777EB8" w:rsidRDefault="00777EB8" w:rsidP="0077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 xml:space="preserve">$5,000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4CF6" w14:textId="77777777" w:rsidR="00777EB8" w:rsidRPr="00777EB8" w:rsidRDefault="00777EB8" w:rsidP="00777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7EB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…</w:t>
            </w:r>
          </w:p>
        </w:tc>
      </w:tr>
    </w:tbl>
    <w:p w14:paraId="7086FCC9" w14:textId="224E3BD3" w:rsidR="00942604" w:rsidRPr="00942604" w:rsidRDefault="00942604" w:rsidP="00BD72C4">
      <w:pPr>
        <w:spacing w:line="240" w:lineRule="auto"/>
        <w:contextualSpacing/>
      </w:pPr>
    </w:p>
    <w:p w14:paraId="664B9223" w14:textId="1FE6FC7A" w:rsidR="00832F42" w:rsidRPr="00920D7E" w:rsidRDefault="00920D7E" w:rsidP="002E68A3">
      <w:pPr>
        <w:spacing w:line="240" w:lineRule="auto"/>
        <w:contextualSpacing/>
        <w:rPr>
          <w:b/>
          <w:bCs/>
        </w:rPr>
      </w:pPr>
      <w:r w:rsidRPr="00920D7E">
        <w:rPr>
          <w:b/>
          <w:bCs/>
        </w:rPr>
        <w:t>Conclusion to look at</w:t>
      </w:r>
    </w:p>
    <w:p w14:paraId="5787C71B" w14:textId="32D313C2" w:rsidR="002E68A3" w:rsidRDefault="00920D7E" w:rsidP="00920D7E">
      <w:pPr>
        <w:pStyle w:val="ListParagraph"/>
        <w:numPr>
          <w:ilvl w:val="0"/>
          <w:numId w:val="2"/>
        </w:numPr>
        <w:spacing w:line="240" w:lineRule="auto"/>
      </w:pPr>
      <w:r>
        <w:t>We can identify (and quantify) the best trading indicator/strategy</w:t>
      </w:r>
      <w:r w:rsidR="004363F1">
        <w:t xml:space="preserve"> (by sector or overall)</w:t>
      </w:r>
    </w:p>
    <w:p w14:paraId="475F0CE9" w14:textId="73721B30" w:rsidR="00832F42" w:rsidRDefault="00920D7E" w:rsidP="002E68A3">
      <w:pPr>
        <w:pStyle w:val="ListParagraph"/>
        <w:numPr>
          <w:ilvl w:val="0"/>
          <w:numId w:val="2"/>
        </w:numPr>
        <w:spacing w:line="240" w:lineRule="auto"/>
      </w:pPr>
      <w:r>
        <w:t xml:space="preserve">We can possibly </w:t>
      </w:r>
      <w:r w:rsidR="004363F1">
        <w:t xml:space="preserve">come up with an optimal trading strategy that draws on multiple indicators </w:t>
      </w:r>
      <w:r w:rsidR="004363F1">
        <w:t>(by sector or overall)</w:t>
      </w:r>
    </w:p>
    <w:sectPr w:rsidR="00832F42" w:rsidSect="002E68A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5D18"/>
    <w:multiLevelType w:val="hybridMultilevel"/>
    <w:tmpl w:val="60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201"/>
    <w:multiLevelType w:val="hybridMultilevel"/>
    <w:tmpl w:val="5AF6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3"/>
    <w:rsid w:val="001522D4"/>
    <w:rsid w:val="002E68A3"/>
    <w:rsid w:val="004363F1"/>
    <w:rsid w:val="00724574"/>
    <w:rsid w:val="00777EB8"/>
    <w:rsid w:val="00832F42"/>
    <w:rsid w:val="00920D7E"/>
    <w:rsid w:val="00942604"/>
    <w:rsid w:val="00BD64B3"/>
    <w:rsid w:val="00BD72C4"/>
    <w:rsid w:val="00C230CA"/>
    <w:rsid w:val="00CC5F93"/>
    <w:rsid w:val="00D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554A"/>
  <w15:chartTrackingRefBased/>
  <w15:docId w15:val="{D31676EA-2301-4F44-920E-EE3ADCB4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A3"/>
  </w:style>
  <w:style w:type="character" w:customStyle="1" w:styleId="DateChar">
    <w:name w:val="Date Char"/>
    <w:basedOn w:val="DefaultParagraphFont"/>
    <w:link w:val="Date"/>
    <w:uiPriority w:val="99"/>
    <w:semiHidden/>
    <w:rsid w:val="002E68A3"/>
  </w:style>
  <w:style w:type="paragraph" w:styleId="ListParagraph">
    <w:name w:val="List Paragraph"/>
    <w:basedOn w:val="Normal"/>
    <w:uiPriority w:val="34"/>
    <w:qFormat/>
    <w:rsid w:val="00C2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</dc:creator>
  <cp:keywords/>
  <dc:description/>
  <cp:lastModifiedBy>Jim Ng</cp:lastModifiedBy>
  <cp:revision>3</cp:revision>
  <dcterms:created xsi:type="dcterms:W3CDTF">2022-02-11T21:01:00Z</dcterms:created>
  <dcterms:modified xsi:type="dcterms:W3CDTF">2022-02-11T21:50:00Z</dcterms:modified>
</cp:coreProperties>
</file>