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z w:val="32"/>
        </w:rPr>
        <w:t>SENTINEL: An Interoperability and Evidence-Accountability Layer for Existing CCTV, VMS, and ANPR Infrastructure</w:t>
      </w:r>
    </w:p>
    <w:p>
      <w:pPr>
        <w:spacing w:after="200" w:before="0"/>
        <w:jc w:val="center"/>
      </w:pPr>
      <w:r>
        <w:rPr>
          <w:rFonts w:ascii="Times New Roman" w:hAnsi="Times New Roman"/>
          <w:b w:val="0"/>
          <w:i/>
          <w:sz w:val="22"/>
        </w:rPr>
        <w:t>A Technical Proposal for the Gujarat Police Innovation Challenge 2026</w:t>
      </w:r>
    </w:p>
    <w:p>
      <w:pPr>
        <w:spacing w:after="280" w:before="0"/>
        <w:jc w:val="center"/>
      </w:pPr>
      <w:r>
        <w:rPr>
          <w:rFonts w:ascii="Times New Roman" w:hAnsi="Times New Roman"/>
          <w:b w:val="0"/>
          <w:i w:val="0"/>
          <w:sz w:val="20"/>
        </w:rPr>
        <w:t>Team Sentinel</w:t>
        <w:br/>
        <w:t>Gujarat Police Innovation Challenge 2026, Phase 1 Submission</w:t>
      </w:r>
    </w:p>
    <w:p>
      <w:pPr>
        <w:spacing w:after="80"/>
      </w:pPr>
      <w:r>
        <w:rPr>
          <w:rFonts w:ascii="Times New Roman" w:hAnsi="Times New Roman"/>
          <w:b/>
          <w:i/>
          <w:sz w:val="20"/>
        </w:rPr>
        <w:t>Abstract—</w:t>
      </w:r>
      <w:r>
        <w:rPr>
          <w:rFonts w:ascii="Times New Roman" w:hAnsi="Times New Roman"/>
          <w:sz w:val="20"/>
        </w:rPr>
        <w:t>Indian state police departments operate heterogeneous CCTV, Video Management System (VMS), and Automatic Number Plate Recognition (ANPR) infrastructure procured independently across departments, resulting in fragmented monitoring, no shared evidentiary record, and no measurable signal for whether a given camera is actually fit for analytics. This paper presents Sentinel, a vendor-neutral interoperability and accountability layer that integrates with existing departmental camera infrastructure via RTSP/ONVIF/API without requiring replacement of any existing system. Sentinel contributes an explainable, evidence-tiered vehicle-identity-resolution layer (CONFIRMED / PROBABLE / LEAD-ONLY) that prevents low-confidence appearance-based inference from being presented as confirmed evidence, a write-time cryptographic evidence-integrity pipeline oriented toward Section 63 of the Bharatiya Sakshya Adhiniyam, and a camera ANPR-suitability scoring mechanism that converts poor plate-recognition outcomes into an actionable operational finding rather than a hidden failure. A real automatic number-plate read was reproduced end-to-end on live government-provided sandbox footage. The system is evaluated honestly against its own limitations, including a measured 41.87% false-positive rate for appearance-only cross-camera linking, which is why such links are never presented as confirmed identity.</w:t>
      </w:r>
    </w:p>
    <w:p>
      <w:pPr>
        <w:spacing w:after="200"/>
      </w:pPr>
      <w:r>
        <w:rPr>
          <w:rFonts w:ascii="Times New Roman" w:hAnsi="Times New Roman"/>
          <w:b/>
          <w:i/>
          <w:sz w:val="20"/>
        </w:rPr>
        <w:t>Index Terms—</w:t>
      </w:r>
      <w:r>
        <w:rPr>
          <w:rFonts w:ascii="Times New Roman" w:hAnsi="Times New Roman"/>
          <w:sz w:val="20"/>
        </w:rPr>
        <w:t>Automatic Number Plate Recognition, vehicle re-identification, video surveillance interoperability, evidence integrity, smart policing, watchlist correlation, CCTV governance.</w:t>
      </w:r>
    </w:p>
    <w:p>
      <w:pPr>
        <w:sectPr>
          <w:pgSz w:w="12240" w:h="15840"/>
          <w:pgMar w:top="1083" w:right="992" w:bottom="935" w:left="992" w:header="720" w:footer="720" w:gutter="0"/>
          <w:cols w:space="720"/>
          <w:docGrid w:linePitch="360"/>
        </w:sectPr>
      </w:pPr>
    </w:p>
    <w:p>
      <w:pPr>
        <w:spacing w:before="200" w:after="80"/>
        <w:jc w:val="center"/>
      </w:pPr>
      <w:r>
        <w:rPr>
          <w:rFonts w:ascii="Times New Roman" w:hAnsi="Times New Roman"/>
          <w:b/>
          <w:sz w:val="20"/>
        </w:rPr>
        <w:t>I. INTRODUCTION</w:t>
      </w:r>
    </w:p>
    <w:p>
      <w:pPr>
        <w:spacing w:after="120"/>
        <w:ind w:firstLine="198"/>
        <w:jc w:val="both"/>
      </w:pPr>
      <w:r>
        <w:rPr>
          <w:rFonts w:ascii="Times New Roman" w:hAnsi="Times New Roman"/>
          <w:sz w:val="20"/>
        </w:rPr>
        <w:t>Gujarat, like most Indian states, already operates substantial CCTV, VMS, and ANPR infrastructure across departments (publicly reported at over 7,000 cameras under VISWAS/NETRAM/TRINETRA, with further phases expanding coverage). Sentinel is not positioned as a replacement for these systems, a new VMS, or a novel ANPR engine. Detection, ANPR, and cross-camera vehicle tracking are already commercially available from multiple Indian vendors. Sentinel's contribution is at the interoperability, accountability, and evidence-governance layer above these systems.</w:t>
      </w:r>
    </w:p>
    <w:p>
      <w:pPr>
        <w:spacing w:after="120"/>
        <w:ind w:firstLine="198"/>
        <w:jc w:val="both"/>
      </w:pPr>
      <w:r>
        <w:rPr>
          <w:rFonts w:ascii="Times New Roman" w:hAnsi="Times New Roman"/>
          <w:sz w:val="20"/>
        </w:rPr>
        <w:t>The problem this paper addresses is threefold: (1) departments cannot jointly monitor traffic without operating separate viewers per VMS vendor; (2) no common, auditable evidentiary record exists across systems; and (3) no operational signal exists for whether a specific camera is physically capable of producing a usable ANPR read, which silently wastes analytics investment on unsuitable hardware.</w:t>
      </w:r>
    </w:p>
    <w:p>
      <w:pPr>
        <w:spacing w:before="200" w:after="80"/>
        <w:jc w:val="center"/>
      </w:pPr>
      <w:r>
        <w:rPr>
          <w:rFonts w:ascii="Times New Roman" w:hAnsi="Times New Roman"/>
          <w:b/>
          <w:sz w:val="20"/>
        </w:rPr>
        <w:t>II. RELATED WORK AND EXISTING SYSTEMS</w:t>
      </w:r>
    </w:p>
    <w:p>
      <w:pPr>
        <w:spacing w:after="120"/>
        <w:ind w:firstLine="198"/>
        <w:jc w:val="both"/>
      </w:pPr>
      <w:r>
        <w:rPr>
          <w:rFonts w:ascii="Times New Roman" w:hAnsi="Times New Roman"/>
          <w:sz w:val="20"/>
        </w:rPr>
        <w:t>Commercial and state-deployed ANPR/VMS platforms in India (e.g., vendor-supplied traffic-monitoring suites) already demonstrate detection, OCR-based plate recognition, and basic vehicle tracking at scale. Internationally, Flock Safety's ANPR network was found by Roseville, CA police to misread 71% of stolen/felony-vehicle alerts in a 2023-24 audit, largely attributed to camera placement and angle rather than model choice [1]. This is evidence that field accuracy, not lab benchmark accuracy, is the operative constraint for any deployed ANPR system. NIST's Face Recognition Vendor Test Part 3 found up to 7,200x variation in false-positive rate across demographic groups for some algorithms [2], and Delhi Police's own 2018 submission to the Delhi High Court stated a deployed facial-recognition system's accuracy at 2% [3]. These findings directly informed Sentinel's decision to exclude facial recognition rather than deploy an unvalidated biometric system in a law-enforcement context.</w:t>
      </w:r>
    </w:p>
    <w:p>
      <w:pPr>
        <w:spacing w:before="200" w:after="80"/>
        <w:jc w:val="center"/>
      </w:pPr>
      <w:r>
        <w:rPr>
          <w:rFonts w:ascii="Times New Roman" w:hAnsi="Times New Roman"/>
          <w:b/>
          <w:sz w:val="20"/>
        </w:rPr>
        <w:t>III. PROPOSED SYSTEM ARCHITECTURE</w:t>
      </w:r>
    </w:p>
    <w:p>
      <w:pPr>
        <w:spacing w:after="120"/>
        <w:ind w:firstLine="198"/>
        <w:jc w:val="both"/>
      </w:pPr>
      <w:r>
        <w:rPr>
          <w:rFonts w:ascii="Times New Roman" w:hAnsi="Times New Roman"/>
          <w:sz w:val="20"/>
        </w:rPr>
        <w:t>Sentinel follows a hybrid Model 1 (Centralised Registry and GIS) plus Model 2 (Unified Viewing and Metadata Analytics) architecture, with a documented Model 3 (VMS federation) and a scoped Model 4 (central platform) pilot slice as bonus scope. The architecture connects directly to departmental systems over RTSP, ONVIF, or vendor APIs with no middleware layer, preserving each department's operational control of its own infrastructure. A normalization layer converts heterogeneous camera/VMS output into a single vendor-neutral event schema consumed by the registry, unified viewer, analytics pipeline, and downstream search, watchlist, and evidence subsystems.</w:t>
      </w:r>
    </w:p>
    <w:p>
      <w:pPr>
        <w:spacing w:after="120"/>
        <w:ind w:firstLine="198"/>
        <w:jc w:val="both"/>
      </w:pPr>
      <w:r>
        <w:rPr>
          <w:rFonts w:ascii="Times New Roman" w:hAnsi="Times New Roman"/>
          <w:sz w:val="20"/>
        </w:rPr>
        <w:t>At statewide scale (~80,000 cameras), raw video ingestion is not a credible target: at approximately 2 Mbps per stream this would require roughly 160 Gbps sustained bandwidth and 1.7 PB/day of storage. Sentinel therefore performs edge inference and centralizes only structured events (plate, timestamp, camera identifier, embedding vector), reducing the sustained bandwidth requirement to an estimated 640 Mbps for the same camera count. This is a projection from the pilot's measured per-stream cost, not a proven result at full scale.</w:t>
      </w:r>
    </w:p>
    <w:p>
      <w:pPr>
        <w:spacing w:before="200" w:after="80"/>
        <w:jc w:val="center"/>
      </w:pPr>
      <w:r>
        <w:rPr>
          <w:rFonts w:ascii="Times New Roman" w:hAnsi="Times New Roman"/>
          <w:b/>
          <w:sz w:val="20"/>
        </w:rPr>
        <w:t>IV. METHODOLOGY</w:t>
      </w:r>
    </w:p>
    <w:p>
      <w:pPr>
        <w:spacing w:before="120" w:after="60"/>
      </w:pPr>
      <w:r>
        <w:rPr>
          <w:rFonts w:ascii="Times New Roman" w:hAnsi="Times New Roman"/>
          <w:b/>
          <w:i/>
          <w:sz w:val="20"/>
        </w:rPr>
        <w:t>A. Video Ingestion and Camera Integration</w:t>
      </w:r>
    </w:p>
    <w:p>
      <w:pPr>
        <w:spacing w:after="120"/>
        <w:ind w:firstLine="198"/>
        <w:jc w:val="both"/>
      </w:pPr>
      <w:r>
        <w:rPr>
          <w:rFonts w:ascii="Times New Roman" w:hAnsi="Times New Roman"/>
          <w:sz w:val="20"/>
        </w:rPr>
        <w:t>Each camera is discovered via a live catalogue rather than hardcoded configuration. RTSP is forced over TCP; every frame carries a presentation timestamp (PTS) used for all within-stream timing and velocity calculations, since wall-clock arrival time is unreliable under buffered/replayed streams. Reconnection uses exponential backoff, and a stream discontinuity (e.g., a looped recording's cut point) triggers an explicit tracker state reset rather than silently producing corrupted motion data.</w:t>
      </w:r>
    </w:p>
    <w:p>
      <w:pPr>
        <w:spacing w:before="120" w:after="60"/>
      </w:pPr>
      <w:r>
        <w:rPr>
          <w:rFonts w:ascii="Times New Roman" w:hAnsi="Times New Roman"/>
          <w:b/>
          <w:i/>
          <w:sz w:val="20"/>
        </w:rPr>
        <w:t>B. AI-Based Vehicle Detection and ANPR Pipeline</w:t>
      </w:r>
    </w:p>
    <w:p>
      <w:pPr>
        <w:spacing w:after="120"/>
        <w:ind w:firstLine="198"/>
        <w:jc w:val="both"/>
      </w:pPr>
      <w:r>
        <w:rPr>
          <w:rFonts w:ascii="Times New Roman" w:hAnsi="Times New Roman"/>
          <w:sz w:val="20"/>
        </w:rPr>
        <w:t>The analytics pipeline is: vehicle detection (YOLOv8) -&gt; plate localisation (a fine-tuned YOLOv11 plate detector) -&gt; enhancement (grayscale/CLAHE/upscale) -&gt; OCR (PaddleOCR, with multi-line-plate joining and bounded homoglyph correction for common digit/letter confusions) -&gt; regex pattern validation, including Bharat-series (BH) plates and a 36-code state/UT whitelist -&gt; temporal consensus voting across sampled frames. A within-camera-only tracker (ByteTrack) associates repeated OCR attempts with one physical vehicle; it is never presented as cross-camera tracking. On live government-provided sandbox footage, a plate was read correctly on 6 of 6 consecutive samples at 0.917-0.977 confidence, reproduced end-to-end from detection through consensus voting, and visually confirmed against the saved evidence crop.</w:t>
      </w:r>
    </w:p>
    <w:p>
      <w:pPr>
        <w:spacing w:before="120" w:after="60"/>
      </w:pPr>
      <w:r>
        <w:rPr>
          <w:rFonts w:ascii="Times New Roman" w:hAnsi="Times New Roman"/>
          <w:b/>
          <w:i/>
          <w:sz w:val="20"/>
        </w:rPr>
        <w:t>C. Vehicle Identity Resolution and Evidence Classification</w:t>
      </w:r>
    </w:p>
    <w:p>
      <w:pPr>
        <w:spacing w:after="120"/>
        <w:ind w:firstLine="198"/>
        <w:jc w:val="both"/>
      </w:pPr>
      <w:r>
        <w:rPr>
          <w:rFonts w:ascii="Times New Roman" w:hAnsi="Times New Roman"/>
          <w:sz w:val="20"/>
        </w:rPr>
        <w:t>A vehicle identity is resolved plate-first: an unreadable plate does not drop the vehicle but degrades gracefully to colour/type/appearance tracking. Every cross-camera link records its link method, similarity score, and time gap at decision time. Each sighting is classified into one of three evidence tiers: CONFIRMED (plate-supported), PROBABLE (within-camera track continuity from a confirmed sighting, requires investigator verification), or LEAD-ONLY (appearance/inference only). Only CONFIRMED sightings are exportable as evidence; this is enforced at the API and export layer, not only in the interface. On the accumulated pilot database, 6 of 12,257 events were CONFIRMED and 12,251 were LEAD-ONLY, reflecting how rarely a plate is actually read versus how often appearance-only inference occurs. The appearance encoder measured a 41.87% false-positive rate on confirmed-different-vehicle pairs, which is why LEAD-ONLY links are never presented as tracked identity.</w:t>
      </w:r>
    </w:p>
    <w:p>
      <w:pPr>
        <w:spacing w:before="120" w:after="60"/>
      </w:pPr>
      <w:r>
        <w:rPr>
          <w:rFonts w:ascii="Times New Roman" w:hAnsi="Times New Roman"/>
          <w:b/>
          <w:i/>
          <w:sz w:val="20"/>
        </w:rPr>
        <w:t>D. Watchlist Correlation and Alerting</w:t>
      </w:r>
    </w:p>
    <w:p>
      <w:pPr>
        <w:spacing w:after="120"/>
        <w:ind w:firstLine="198"/>
        <w:jc w:val="both"/>
      </w:pPr>
      <w:r>
        <w:rPr>
          <w:rFonts w:ascii="Times New Roman" w:hAnsi="Times New Roman"/>
          <w:sz w:val="20"/>
        </w:rPr>
        <w:t>Every persisted event with a resolved plate is checked against a local watchlist at write time. A match creates an alert with a governed lifecycle (new -&gt; acknowledged -&gt; resolved/dismissed); only transitions declared in an explicit state table are permitted. Alerts are gated on the triggering event's own evidence class, not on an identity's historical best evidence, preventing a weak inference from silently inheriting an earlier confirmed plate match.</w:t>
      </w:r>
    </w:p>
    <w:p>
      <w:pPr>
        <w:spacing w:before="200" w:after="80"/>
        <w:jc w:val="center"/>
      </w:pPr>
      <w:r>
        <w:rPr>
          <w:rFonts w:ascii="Times New Roman" w:hAnsi="Times New Roman"/>
          <w:b/>
          <w:sz w:val="20"/>
        </w:rPr>
        <w:t>V. EVIDENCE INTEGRITY AND GOVERNANCE</w:t>
      </w:r>
    </w:p>
    <w:p>
      <w:pPr>
        <w:spacing w:after="120"/>
        <w:ind w:firstLine="198"/>
        <w:jc w:val="both"/>
      </w:pPr>
      <w:r>
        <w:rPr>
          <w:rFonts w:ascii="Times New Roman" w:hAnsi="Times New Roman"/>
          <w:sz w:val="20"/>
        </w:rPr>
        <w:t>Each stored evidence crop is hashed (SHA-256) immediately after write and the hash is never recomputed into that field afterward; a later mismatch is reported explicitly rather than silently healed. A production stamp records the concrete detector/OCR/Re-ID class names in force at capture time, distinguishing a stub component from a real one on the same evidence record. Export of an evidence package is gated to CONFIRMED events only, requires a stated investigative purpose, and is audit-logged before the artefact is produced. Wording throughout is deliberately conservative, using "Section 63-oriented" rather than "court admissible", since legal review of the operating procedure has not been performed.</w:t>
      </w:r>
    </w:p>
    <w:p>
      <w:pPr>
        <w:spacing w:after="120"/>
        <w:ind w:firstLine="198"/>
        <w:jc w:val="both"/>
      </w:pPr>
      <w:r>
        <w:rPr>
          <w:rFonts w:ascii="Times New Roman" w:hAnsi="Times New Roman"/>
          <w:sz w:val="20"/>
        </w:rPr>
        <w:t>Access control is role- and department-scoped with object-level authorization, not role-only; cross-department access on the most sensitive query surface (vehicle search) is a deliberate, disclosed design decision rather than an oversight, since cross-department correlation is the system's stated purpose. Data retention is enforced in code (30-day default for vehicle data, 365-day for audit logs), modelled on, and responding to, criticism of the UK National ANPR system's historically unenforced retention schedule [4].</w:t>
      </w:r>
    </w:p>
    <w:p>
      <w:pPr>
        <w:spacing w:before="200" w:after="80"/>
        <w:jc w:val="center"/>
      </w:pPr>
      <w:r>
        <w:rPr>
          <w:rFonts w:ascii="Times New Roman" w:hAnsi="Times New Roman"/>
          <w:b/>
          <w:sz w:val="20"/>
        </w:rPr>
        <w:t>VI. SCALABILITY AND SYSTEM DESIGN</w:t>
      </w:r>
    </w:p>
    <w:p>
      <w:pPr>
        <w:spacing w:after="120"/>
        <w:ind w:firstLine="198"/>
        <w:jc w:val="both"/>
      </w:pPr>
      <w:r>
        <w:rPr>
          <w:rFonts w:ascii="Times New Roman" w:hAnsi="Times New Roman"/>
          <w:sz w:val="20"/>
        </w:rPr>
        <w:t>The target architecture is edge, regional, and central: inference runs near the camera, emitting only structured events to a central plane; horizontal scaling adds stream-manager instances, each owning a shard of cameras, publishing to a shared event bus. A camera ANPR-suitability scoring mechanism (CAPABLE / MARGINAL / UNSUITABLE) evaluates two independent measures: observed validated-plate rate and plate-pixel geometry against a vendor-reported minimum-plate-width figure. It then returns a remediation recommendation (re-angle, reposition, change lens, or mark analytics unsupported) rather than silently discarding a camera's poor output.</w:t>
      </w:r>
    </w:p>
    <w:p>
      <w:pPr>
        <w:spacing w:before="200" w:after="80"/>
        <w:jc w:val="center"/>
      </w:pPr>
      <w:r>
        <w:rPr>
          <w:rFonts w:ascii="Times New Roman" w:hAnsi="Times New Roman"/>
          <w:b/>
          <w:sz w:val="20"/>
        </w:rPr>
        <w:t>VII. RESULTS AND EVALUATION</w:t>
      </w:r>
    </w:p>
    <w:p>
      <w:pPr>
        <w:pStyle w:val="ListBullet"/>
        <w:spacing w:after="40"/>
      </w:pPr>
      <w:r>
        <w:rPr>
          <w:rFonts w:ascii="Times New Roman" w:hAnsi="Times New Roman"/>
          <w:sz w:val="19"/>
        </w:rPr>
        <w:t>A real, pattern-valid plate read was reproduced on 6 of 6 consecutive samples on live sandbox footage (confidence 0.917-0.977), following 5 prior scan attempts that produced zero reads. This is reported honestly rather than cherry-picked from the first successful capture.</w:t>
      </w:r>
    </w:p>
    <w:p>
      <w:pPr>
        <w:pStyle w:val="ListBullet"/>
        <w:spacing w:after="40"/>
      </w:pPr>
      <w:r>
        <w:rPr>
          <w:rFonts w:ascii="Times New Roman" w:hAnsi="Times New Roman"/>
          <w:sz w:val="19"/>
        </w:rPr>
        <w:t>Evidence-tier distribution measured on the accumulated database: 6 CONFIRMED, 12,251 LEAD-ONLY of 12,257 total events.</w:t>
      </w:r>
    </w:p>
    <w:p>
      <w:pPr>
        <w:pStyle w:val="ListBullet"/>
        <w:spacing w:after="40"/>
      </w:pPr>
      <w:r>
        <w:rPr>
          <w:rFonts w:ascii="Times New Roman" w:hAnsi="Times New Roman"/>
          <w:sz w:val="19"/>
        </w:rPr>
        <w:t>Appearance-only re-identification false-positive rate, measured against 3,000 confirmed-different-vehicle real crop pairs: 41.87%.</w:t>
      </w:r>
    </w:p>
    <w:p>
      <w:pPr>
        <w:pStyle w:val="ListBullet"/>
        <w:spacing w:after="40"/>
      </w:pPr>
      <w:r>
        <w:rPr>
          <w:rFonts w:ascii="Times New Roman" w:hAnsi="Times New Roman"/>
          <w:sz w:val="19"/>
        </w:rPr>
        <w:t>Model 2's mandatory two-independent-system requirement was met with a real government sandbox source and a real, independently operated public traffic-camera API, rather than one source relabeled as two.</w:t>
      </w:r>
    </w:p>
    <w:p>
      <w:pPr>
        <w:pStyle w:val="ListBullet"/>
        <w:spacing w:after="40"/>
      </w:pPr>
      <w:r>
        <w:rPr>
          <w:rFonts w:ascii="Times New Roman" w:hAnsi="Times New Roman"/>
          <w:sz w:val="19"/>
        </w:rPr>
        <w:t>Backend test suite: 357 automated tests passing at time of writing, covering evidence-tier transitions, authorization boundaries, and degraded/failure paths, not only the success path.</w:t>
      </w:r>
    </w:p>
    <w:p>
      <w:pPr>
        <w:spacing w:before="200" w:after="80"/>
        <w:jc w:val="center"/>
      </w:pPr>
      <w:r>
        <w:rPr>
          <w:rFonts w:ascii="Times New Roman" w:hAnsi="Times New Roman"/>
          <w:b/>
          <w:sz w:val="20"/>
        </w:rPr>
        <w:t>VIII. LIMITATIONS AND FUTURE WORK</w:t>
      </w:r>
    </w:p>
    <w:p>
      <w:pPr>
        <w:spacing w:after="120"/>
        <w:ind w:firstLine="198"/>
        <w:jc w:val="both"/>
      </w:pPr>
      <w:r>
        <w:rPr>
          <w:rFonts w:ascii="Times New Roman" w:hAnsi="Times New Roman"/>
          <w:sz w:val="20"/>
        </w:rPr>
        <w:t>Fleet-wide ANPR read rate remains low and inconsistent across sampling sessions on the current camera set; this is disclosed rather than smoothed over. Cross-camera vehicle tracking based on appearance alone is not presented as a proven capability given its measured false-positive rate; the governance layer that prevents such an inference from being mistaken for fact is what is demonstrated. Section 63 evidentiary compliance has not undergone legal review. Statewide scalability figures are architectural projections from a ~30-camera pilot, not the result of an 80,000-camera load test, which was not attempted. Live integration with government law-enforcement databases (vehicle registration, licensing, case-management, and national crime-tracking systems) requires a formal inter-department access agreement outside the scope of this engineering submission; the query interface exists but fails closed until such access exists. Facial recognition is deliberately excluded rather than deferred, pending a validated, bias-audited model that does not currently exist in a form this project can responsibly deploy.</w:t>
      </w:r>
    </w:p>
    <w:p>
      <w:pPr>
        <w:spacing w:before="200" w:after="80"/>
        <w:jc w:val="center"/>
      </w:pPr>
      <w:r>
        <w:rPr>
          <w:rFonts w:ascii="Times New Roman" w:hAnsi="Times New Roman"/>
          <w:b/>
          <w:sz w:val="20"/>
        </w:rPr>
        <w:t>IX. CONCLUSION</w:t>
      </w:r>
    </w:p>
    <w:p>
      <w:pPr>
        <w:spacing w:after="120"/>
        <w:ind w:firstLine="198"/>
        <w:jc w:val="both"/>
      </w:pPr>
      <w:r>
        <w:rPr>
          <w:rFonts w:ascii="Times New Roman" w:hAnsi="Times New Roman"/>
          <w:sz w:val="20"/>
        </w:rPr>
        <w:t>Sentinel demonstrates that the highest-value contribution available in this problem space is not another detector or another VMS, but an interoperability and accountability layer that makes existing camera investment measurably useful: it reports whether a camera can actually support analytics, records why an AI-derived link was made, refuses to let inference silently become evidence, and packages evidence with cryptographic provenance for downstream legal review. This positioning is deliberately narrower than a full statewide central-VMS claim, and every result in this paper is stated with its actual verification status rather than an aspirational one.</w:t>
      </w:r>
    </w:p>
    <w:p>
      <w:pPr>
        <w:spacing w:before="200" w:after="80"/>
        <w:jc w:val="center"/>
      </w:pPr>
      <w:r>
        <w:rPr>
          <w:rFonts w:ascii="Times New Roman" w:hAnsi="Times New Roman"/>
          <w:b/>
          <w:sz w:val="20"/>
        </w:rPr>
        <w:t>REFERENCES</w:t>
      </w:r>
    </w:p>
    <w:p>
      <w:pPr>
        <w:spacing w:after="40"/>
        <w:ind w:left="283" w:hanging="283"/>
      </w:pPr>
      <w:r>
        <w:rPr>
          <w:rFonts w:ascii="Times New Roman" w:hAnsi="Times New Roman"/>
          <w:sz w:val="18"/>
        </w:rPr>
        <w:t>[1] Business Insider (via Gizmodo), "Flock cameras got the wrong license plate 71% of the time in a California city," Aug. 2026.</w:t>
      </w:r>
    </w:p>
    <w:p>
      <w:pPr>
        <w:spacing w:after="40"/>
        <w:ind w:left="283" w:hanging="283"/>
      </w:pPr>
      <w:r>
        <w:rPr>
          <w:rFonts w:ascii="Times New Roman" w:hAnsi="Times New Roman"/>
          <w:sz w:val="18"/>
        </w:rPr>
        <w:t>[2] P. Grother, M. Ngan, and K. Hanaoka, "Face Recognition Vendor Test (FRVT) Part 3: Demographic Effects," NISTIR 8280, National Institute of Standards and Technology, 2019.</w:t>
      </w:r>
    </w:p>
    <w:p>
      <w:pPr>
        <w:spacing w:after="40"/>
        <w:ind w:left="283" w:hanging="283"/>
      </w:pPr>
      <w:r>
        <w:rPr>
          <w:rFonts w:ascii="Times New Roman" w:hAnsi="Times New Roman"/>
          <w:sz w:val="18"/>
        </w:rPr>
        <w:t>[3] Delhi Police, submission to the Delhi High Court on Facial Recognition System accuracy, 2018.</w:t>
      </w:r>
    </w:p>
    <w:p>
      <w:pPr>
        <w:spacing w:after="40"/>
        <w:ind w:left="283" w:hanging="283"/>
      </w:pPr>
      <w:r>
        <w:rPr>
          <w:rFonts w:ascii="Times New Roman" w:hAnsi="Times New Roman"/>
          <w:sz w:val="18"/>
        </w:rPr>
        <w:t>[4] UK National Automatic Number Plate Recognition System, retention and oversight criticism, publicly documented case study.</w:t>
      </w:r>
    </w:p>
    <w:p>
      <w:pPr>
        <w:spacing w:after="40"/>
        <w:ind w:left="283" w:hanging="283"/>
      </w:pPr>
      <w:r>
        <w:rPr>
          <w:rFonts w:ascii="Times New Roman" w:hAnsi="Times New Roman"/>
          <w:sz w:val="18"/>
        </w:rPr>
        <w:t>[5] Ministry of Road Transport and Highways (MoRTH), Bharat-series (BH) vehicle registration notification, 15 Sep. 2021.</w:t>
      </w:r>
    </w:p>
    <w:p>
      <w:pPr>
        <w:spacing w:after="40"/>
        <w:ind w:left="283" w:hanging="283"/>
      </w:pPr>
      <w:r>
        <w:rPr>
          <w:rFonts w:ascii="Times New Roman" w:hAnsi="Times New Roman"/>
          <w:sz w:val="18"/>
        </w:rPr>
        <w:t>[6] Gujarat Home Department, public communications on VISWAS/NETRAM/TRINETRA camera deployment figures (7,000+ cameras, Phase-II expansion), not independently verified by this team.</w:t>
      </w:r>
    </w:p>
    <w:p>
      <w:pPr>
        <w:spacing w:after="40"/>
        <w:ind w:left="283" w:hanging="283"/>
      </w:pPr>
      <w:r>
        <w:rPr>
          <w:rFonts w:ascii="Times New Roman" w:hAnsi="Times New Roman"/>
          <w:sz w:val="18"/>
        </w:rPr>
        <w:t>[7] Digital Personal Data Protection (DPDP) Act, 2023, Government of India, §17 (law-enforcement processing exemption).</w:t>
      </w:r>
    </w:p>
    <w:p>
      <w:pPr>
        <w:spacing w:after="40"/>
        <w:ind w:left="283" w:hanging="283"/>
      </w:pPr>
      <w:r>
        <w:rPr>
          <w:rFonts w:ascii="Times New Roman" w:hAnsi="Times New Roman"/>
          <w:sz w:val="18"/>
        </w:rPr>
        <w:t>[8] Bharatiya Sakshya Adhiniyam (BSA), 2023, §63 (electronic evidence).</w:t>
      </w:r>
    </w:p>
    <w:sectPr w:rsidR="00FC693F" w:rsidRPr="0006063C" w:rsidSect="00034616">
      <w:type w:val="continuous"/>
      <w:pgSz w:w="12240" w:h="15840"/>
      <w:pgMar w:top="1083" w:right="992" w:bottom="935" w:left="992"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