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AF Prediction</w:t>
      </w:r>
    </w:p>
    <w:p>
      <w:pPr>
        <w:pStyle w:val="Heading2"/>
      </w:pPr>
      <w:r>
        <w:t>Results</w:t>
      </w:r>
    </w:p>
    <w:p>
      <w:r>
        <w:t>On AF-demo, Future30 improved AUPRC from 0.5490 with Recon-only to 0.5614.</w:t>
      </w:r>
    </w:p>
    <w:p>
      <w:pPr>
        <w:pStyle w:val="Heading2"/>
      </w:pPr>
      <w:r>
        <w:t>Settings</w:t>
      </w:r>
    </w:p>
    <w:p>
      <w:r>
        <w:t>Future30 used a 20-second history window, a 30-second future window, and learning rate 1e-4.</w:t>
      </w:r>
    </w:p>
    <w:p>
      <w:pPr>
        <w:pStyle w:val="Heading2"/>
      </w:pPr>
      <w:r>
        <w:t>Data</w:t>
      </w:r>
    </w:p>
    <w:p>
      <w:r>
        <w:t>AF-demo was split by patient into training and test sets.</w:t>
      </w:r>
    </w:p>
    <w:p>
      <w:pPr>
        <w:pStyle w:val="Heading2"/>
      </w:pPr>
      <w:r>
        <w:t>Statistics</w:t>
      </w:r>
    </w:p>
    <w:p>
      <w:r>
        <w:t>Across 5 random seeds, Future30 achieved mean AUPRC 0.5580 with standard deviation 0.0030.</w:t>
      </w:r>
    </w:p>
    <w:tbl>
      <w:tr>
        <w:tc>
          <w:p>
            <w:r>
              <w:t>Method</w:t>
            </w:r>
          </w:p>
        </w:tc>
        <w:tc>
          <w:p>
            <w:r>
              <w:t>AUPRC</w:t>
            </w:r>
          </w:p>
        </w:tc>
      </w:tr>
      <w:tr>
        <w:tc>
          <w:p>
            <w:r>
              <w:t>Future30</w:t>
            </w:r>
          </w:p>
        </w:tc>
        <w:tc>
          <w:p>
            <w:r>
              <w:t>0.5614</w:t>
            </w:r>
          </w:p>
        </w:tc>
      </w:tr>
    </w:tbl>
    <w:sectPr/>
  </w:body>
</w:document>
</file>