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ED230">
      <w:pPr>
        <w:widowControl/>
        <w:spacing w:line="540" w:lineRule="atLeast"/>
        <w:jc w:val="left"/>
        <w:rPr>
          <w:rFonts w:ascii="Times New Roman" w:hAnsi="Times New Roman" w:eastAsia="仿宋" w:cs="Times New Roman"/>
          <w:sz w:val="30"/>
          <w:szCs w:val="30"/>
        </w:rPr>
      </w:pPr>
      <w:r>
        <w:rPr>
          <w:rFonts w:ascii="Times New Roman" w:hAnsi="Times New Roman" w:eastAsia="仿宋_GB2312" w:cs="Times New Roman"/>
          <w:kern w:val="0"/>
          <w:sz w:val="30"/>
          <w:szCs w:val="30"/>
        </w:rPr>
        <w:t>附件</w:t>
      </w:r>
      <w:r>
        <w:rPr>
          <w:rFonts w:hint="eastAsia" w:ascii="Times New Roman" w:hAnsi="Times New Roman" w:eastAsia="仿宋_GB2312" w:cs="Times New Roman"/>
          <w:kern w:val="0"/>
          <w:sz w:val="30"/>
          <w:szCs w:val="30"/>
          <w:lang w:val="en-US" w:eastAsia="zh-CN"/>
        </w:rPr>
        <w:t>2</w:t>
      </w:r>
      <w:r>
        <w:rPr>
          <w:rFonts w:ascii="Times New Roman" w:hAnsi="Times New Roman" w:eastAsia="仿宋_GB2312" w:cs="Times New Roman"/>
          <w:kern w:val="0"/>
          <w:sz w:val="30"/>
          <w:szCs w:val="30"/>
        </w:rPr>
        <w:t>：</w:t>
      </w:r>
    </w:p>
    <w:p w14:paraId="55660E18">
      <w:pPr>
        <w:spacing w:line="520" w:lineRule="exact"/>
        <w:ind w:firstLine="420" w:firstLineChars="200"/>
        <w:rPr>
          <w:rFonts w:ascii="Times New Roman" w:hAnsi="Times New Roman" w:cs="Times New Roman"/>
        </w:rPr>
      </w:pPr>
    </w:p>
    <w:p w14:paraId="3F01A1C5">
      <w:pPr>
        <w:jc w:val="center"/>
        <w:rPr>
          <w:rStyle w:val="9"/>
          <w:rFonts w:cs="Times New Roman"/>
        </w:rPr>
      </w:pPr>
    </w:p>
    <w:p w14:paraId="2853BE4F">
      <w:pPr>
        <w:jc w:val="center"/>
        <w:rPr>
          <w:rStyle w:val="9"/>
          <w:rFonts w:cs="Times New Roman"/>
        </w:rPr>
      </w:pPr>
      <w:r>
        <w:rPr>
          <w:rStyle w:val="9"/>
          <w:rFonts w:hint="eastAsia" w:cs="Times New Roman"/>
        </w:rPr>
        <w:t>山西</w:t>
      </w:r>
      <w:r>
        <w:rPr>
          <w:rStyle w:val="9"/>
          <w:rFonts w:cs="Times New Roman"/>
        </w:rPr>
        <w:t>开放大学</w:t>
      </w:r>
    </w:p>
    <w:p w14:paraId="6DF32933">
      <w:pPr>
        <w:jc w:val="center"/>
        <w:rPr>
          <w:rStyle w:val="10"/>
          <w:rFonts w:ascii="Times New Roman" w:hAnsi="Times New Roman" w:cs="Times New Roman"/>
        </w:rPr>
      </w:pPr>
    </w:p>
    <w:p w14:paraId="5E42565F">
      <w:pPr>
        <w:jc w:val="center"/>
        <w:rPr>
          <w:rStyle w:val="10"/>
          <w:rFonts w:ascii="宋体" w:hAnsi="宋体" w:eastAsia="宋体" w:cs="Times New Roman"/>
          <w:sz w:val="52"/>
          <w:szCs w:val="52"/>
        </w:rPr>
      </w:pPr>
      <w:r>
        <w:rPr>
          <w:rStyle w:val="10"/>
          <w:rFonts w:ascii="宋体" w:hAnsi="宋体" w:eastAsia="宋体" w:cs="Times New Roman"/>
          <w:sz w:val="52"/>
          <w:szCs w:val="52"/>
        </w:rPr>
        <w:t>毕业论文（设计）</w:t>
      </w:r>
    </w:p>
    <w:p w14:paraId="253ECCEC">
      <w:pPr>
        <w:jc w:val="center"/>
        <w:rPr>
          <w:rStyle w:val="10"/>
          <w:rFonts w:ascii="宋体" w:hAnsi="宋体" w:eastAsia="宋体" w:cs="Times New Roman"/>
        </w:rPr>
      </w:pPr>
    </w:p>
    <w:p w14:paraId="442517AC">
      <w:pPr>
        <w:ind w:firstLine="560"/>
        <w:rPr>
          <w:rFonts w:ascii="宋体" w:hAnsi="宋体" w:eastAsia="宋体" w:cs="Times New Roman"/>
          <w:sz w:val="28"/>
          <w:szCs w:val="28"/>
        </w:rPr>
      </w:pPr>
      <w:r>
        <w:rPr>
          <w:rFonts w:ascii="宋体" w:hAnsi="宋体" w:eastAsia="宋体" w:cs="Times New Roman"/>
          <w:sz w:val="28"/>
          <w:szCs w:val="28"/>
        </w:rPr>
        <w:t>中文题目：</w:t>
      </w:r>
      <w:r>
        <w:rPr>
          <w:rFonts w:hint="eastAsia" w:ascii="宋体" w:hAnsi="宋体" w:eastAsia="宋体" w:cs="Times New Roman"/>
          <w:sz w:val="28"/>
          <w:szCs w:val="28"/>
        </w:rPr>
        <w:t>论我国行政法理论基础的确立</w:t>
      </w:r>
    </w:p>
    <w:p w14:paraId="2AACF6FF">
      <w:pPr>
        <w:jc w:val="center"/>
        <w:rPr>
          <w:rStyle w:val="10"/>
          <w:rFonts w:ascii="宋体" w:hAnsi="宋体" w:eastAsia="宋体" w:cs="Times New Roman"/>
        </w:rPr>
      </w:pPr>
    </w:p>
    <w:p w14:paraId="47A3F76F">
      <w:pPr>
        <w:jc w:val="center"/>
        <w:rPr>
          <w:rStyle w:val="11"/>
          <w:rFonts w:ascii="宋体" w:hAnsi="宋体" w:cs="Times New Roman"/>
        </w:rPr>
      </w:pPr>
    </w:p>
    <w:p w14:paraId="3BBFC178">
      <w:pPr>
        <w:jc w:val="center"/>
        <w:rPr>
          <w:rStyle w:val="11"/>
          <w:rFonts w:ascii="宋体" w:hAnsi="宋体" w:cs="Times New Roman"/>
        </w:rPr>
      </w:pPr>
    </w:p>
    <w:p w14:paraId="2FB05E33">
      <w:pPr>
        <w:tabs>
          <w:tab w:val="left" w:pos="3360"/>
        </w:tabs>
        <w:spacing w:before="200" w:line="360" w:lineRule="exact"/>
        <w:ind w:firstLine="1478" w:firstLineChars="528"/>
        <w:rPr>
          <w:rFonts w:ascii="宋体" w:hAnsi="宋体" w:eastAsia="宋体" w:cs="Times New Roman"/>
          <w:sz w:val="28"/>
          <w:u w:val="single"/>
        </w:rPr>
      </w:pPr>
      <w:r>
        <w:rPr>
          <w:rFonts w:ascii="宋体" w:hAnsi="宋体" w:eastAsia="宋体" w:cs="Times New Roman"/>
          <w:spacing w:val="0"/>
          <w:kern w:val="0"/>
          <w:sz w:val="28"/>
          <w:fitText w:val="2240" w:id="417861674"/>
        </w:rPr>
        <w:t>市开大（分校）：</w:t>
      </w:r>
      <w:r>
        <w:rPr>
          <w:rFonts w:ascii="宋体" w:hAnsi="宋体" w:eastAsia="宋体" w:cs="Times New Roman"/>
          <w:kern w:val="0"/>
          <w:sz w:val="28"/>
          <w:u w:val="single"/>
        </w:rPr>
        <w:t xml:space="preserve">    </w:t>
      </w:r>
      <w:r>
        <w:rPr>
          <w:rFonts w:hint="eastAsia" w:ascii="宋体" w:hAnsi="宋体" w:eastAsia="宋体" w:cs="Times New Roman"/>
          <w:kern w:val="0"/>
          <w:sz w:val="28"/>
          <w:u w:val="single"/>
          <w:lang w:val="en-US" w:eastAsia="zh-CN"/>
        </w:rPr>
        <w:t xml:space="preserve">    </w:t>
      </w:r>
      <w:r>
        <w:rPr>
          <w:rFonts w:ascii="宋体" w:hAnsi="宋体" w:eastAsia="宋体" w:cs="Times New Roman"/>
          <w:kern w:val="0"/>
          <w:sz w:val="28"/>
          <w:u w:val="single"/>
        </w:rPr>
        <w:t xml:space="preserve"> </w:t>
      </w:r>
      <w:r>
        <w:rPr>
          <w:rFonts w:hint="eastAsia" w:ascii="宋体" w:hAnsi="宋体" w:eastAsia="宋体" w:cs="Times New Roman"/>
          <w:kern w:val="0"/>
          <w:sz w:val="28"/>
          <w:u w:val="single"/>
          <w:lang w:val="en-US" w:eastAsia="zh-CN"/>
        </w:rPr>
        <w:t>山西开放大学</w:t>
      </w:r>
      <w:r>
        <w:rPr>
          <w:rFonts w:ascii="宋体" w:hAnsi="宋体" w:eastAsia="宋体" w:cs="Times New Roman"/>
          <w:kern w:val="0"/>
          <w:sz w:val="28"/>
          <w:u w:val="single"/>
        </w:rPr>
        <w:t xml:space="preserve">        </w:t>
      </w:r>
      <w:r>
        <w:rPr>
          <w:rFonts w:ascii="宋体" w:hAnsi="宋体" w:eastAsia="宋体" w:cs="Times New Roman"/>
          <w:kern w:val="0"/>
          <w:sz w:val="28"/>
          <w:u w:val="none"/>
        </w:rPr>
        <w:t xml:space="preserve">         </w:t>
      </w:r>
    </w:p>
    <w:p w14:paraId="73123ED1">
      <w:pPr>
        <w:tabs>
          <w:tab w:val="left" w:pos="3360"/>
        </w:tabs>
        <w:spacing w:before="200" w:line="360" w:lineRule="exact"/>
        <w:ind w:firstLine="1479" w:firstLineChars="302"/>
        <w:rPr>
          <w:rFonts w:ascii="宋体" w:hAnsi="宋体" w:eastAsia="宋体" w:cs="Times New Roman"/>
          <w:sz w:val="28"/>
        </w:rPr>
      </w:pPr>
      <w:r>
        <w:rPr>
          <w:rFonts w:ascii="宋体" w:hAnsi="宋体" w:eastAsia="宋体" w:cs="Times New Roman"/>
          <w:spacing w:val="105"/>
          <w:kern w:val="0"/>
          <w:sz w:val="28"/>
          <w:fitText w:val="2240" w:id="1021908892"/>
        </w:rPr>
        <w:t>学习中心</w:t>
      </w:r>
      <w:r>
        <w:rPr>
          <w:rFonts w:ascii="宋体" w:hAnsi="宋体" w:eastAsia="宋体" w:cs="Times New Roman"/>
          <w:spacing w:val="0"/>
          <w:kern w:val="0"/>
          <w:sz w:val="28"/>
          <w:fitText w:val="2240" w:id="1021908892"/>
        </w:rPr>
        <w:t>：</w:t>
      </w:r>
      <w:r>
        <w:rPr>
          <w:rFonts w:hint="eastAsia" w:ascii="宋体" w:hAnsi="宋体" w:eastAsia="宋体" w:cs="Times New Roman"/>
          <w:kern w:val="0"/>
          <w:sz w:val="28"/>
          <w:u w:val="single"/>
          <w:lang w:val="en-US" w:eastAsia="zh-CN"/>
        </w:rPr>
        <w:t>山西大众高级技工学校学习中心</w:t>
      </w:r>
      <w:r>
        <w:rPr>
          <w:rFonts w:ascii="宋体" w:hAnsi="宋体" w:eastAsia="宋体" w:cs="Times New Roman"/>
          <w:kern w:val="0"/>
          <w:sz w:val="28"/>
          <w:u w:val="single"/>
        </w:rPr>
        <w:t xml:space="preserve"> </w:t>
      </w:r>
    </w:p>
    <w:p w14:paraId="3ED5EB67">
      <w:pPr>
        <w:tabs>
          <w:tab w:val="left" w:pos="3360"/>
        </w:tabs>
        <w:spacing w:before="200" w:line="360" w:lineRule="exact"/>
        <w:ind w:firstLine="1478" w:firstLineChars="528"/>
        <w:rPr>
          <w:rFonts w:ascii="宋体" w:hAnsi="宋体" w:eastAsia="宋体" w:cs="Times New Roman"/>
          <w:sz w:val="28"/>
        </w:rPr>
      </w:pPr>
      <w:r>
        <w:rPr>
          <w:rFonts w:ascii="宋体" w:hAnsi="宋体" w:eastAsia="宋体" w:cs="Times New Roman"/>
          <w:kern w:val="0"/>
          <w:sz w:val="28"/>
        </w:rPr>
        <w:t>专         业 ：</w:t>
      </w:r>
      <w:r>
        <w:rPr>
          <w:rFonts w:ascii="宋体" w:hAnsi="宋体" w:eastAsia="宋体" w:cs="Times New Roman"/>
          <w:kern w:val="0"/>
          <w:sz w:val="28"/>
          <w:u w:val="single"/>
        </w:rPr>
        <w:t xml:space="preserve">       </w:t>
      </w:r>
      <w:r>
        <w:rPr>
          <w:rFonts w:hint="eastAsia" w:ascii="宋体" w:hAnsi="宋体" w:eastAsia="宋体" w:cs="Times New Roman"/>
          <w:kern w:val="0"/>
          <w:sz w:val="28"/>
          <w:u w:val="single"/>
          <w:lang w:val="en-US" w:eastAsia="zh-CN"/>
        </w:rPr>
        <w:t xml:space="preserve">     </w:t>
      </w:r>
      <w:r>
        <w:rPr>
          <w:rFonts w:ascii="宋体" w:hAnsi="宋体" w:eastAsia="宋体" w:cs="Times New Roman"/>
          <w:kern w:val="0"/>
          <w:sz w:val="28"/>
          <w:u w:val="single"/>
        </w:rPr>
        <w:t xml:space="preserve">                 </w:t>
      </w:r>
    </w:p>
    <w:p w14:paraId="7808BB86">
      <w:pPr>
        <w:tabs>
          <w:tab w:val="left" w:pos="3360"/>
        </w:tabs>
        <w:spacing w:before="200" w:line="360" w:lineRule="exact"/>
        <w:ind w:firstLine="1479" w:firstLineChars="302"/>
        <w:rPr>
          <w:rFonts w:ascii="宋体" w:hAnsi="宋体" w:eastAsia="宋体" w:cs="Times New Roman"/>
          <w:sz w:val="28"/>
        </w:rPr>
      </w:pPr>
      <w:r>
        <w:rPr>
          <w:rFonts w:ascii="宋体" w:hAnsi="宋体" w:eastAsia="宋体" w:cs="Times New Roman"/>
          <w:spacing w:val="105"/>
          <w:kern w:val="0"/>
          <w:sz w:val="28"/>
          <w:fitText w:val="2240" w:id="1985111097"/>
        </w:rPr>
        <w:t>入学时间</w:t>
      </w:r>
      <w:r>
        <w:rPr>
          <w:rFonts w:ascii="宋体" w:hAnsi="宋体" w:eastAsia="宋体" w:cs="Times New Roman"/>
          <w:spacing w:val="0"/>
          <w:kern w:val="0"/>
          <w:sz w:val="28"/>
          <w:fitText w:val="2240" w:id="1985111097"/>
        </w:rPr>
        <w:t>：</w:t>
      </w:r>
      <w:r>
        <w:rPr>
          <w:rFonts w:ascii="宋体" w:hAnsi="宋体" w:eastAsia="宋体" w:cs="Times New Roman"/>
          <w:kern w:val="0"/>
          <w:sz w:val="28"/>
          <w:u w:val="single"/>
        </w:rPr>
        <w:t xml:space="preserve">        </w:t>
      </w:r>
      <w:r>
        <w:rPr>
          <w:rFonts w:hint="eastAsia" w:ascii="宋体" w:hAnsi="宋体" w:eastAsia="宋体" w:cs="Times New Roman"/>
          <w:kern w:val="0"/>
          <w:sz w:val="28"/>
          <w:u w:val="single"/>
          <w:lang w:val="en-US" w:eastAsia="zh-CN"/>
        </w:rPr>
        <w:t xml:space="preserve">    </w:t>
      </w:r>
      <w:r>
        <w:rPr>
          <w:rFonts w:ascii="宋体" w:hAnsi="宋体" w:eastAsia="宋体" w:cs="Times New Roman"/>
          <w:kern w:val="0"/>
          <w:sz w:val="28"/>
          <w:u w:val="single"/>
        </w:rPr>
        <w:t xml:space="preserve">                 </w:t>
      </w:r>
    </w:p>
    <w:p w14:paraId="053CBA6F">
      <w:pPr>
        <w:tabs>
          <w:tab w:val="left" w:pos="3360"/>
        </w:tabs>
        <w:spacing w:before="200" w:line="360" w:lineRule="exact"/>
        <w:ind w:firstLine="1478" w:firstLineChars="528"/>
        <w:rPr>
          <w:rFonts w:ascii="宋体" w:hAnsi="宋体" w:eastAsia="宋体" w:cs="Times New Roman"/>
          <w:sz w:val="28"/>
        </w:rPr>
      </w:pPr>
      <w:r>
        <w:rPr>
          <w:rFonts w:ascii="宋体" w:hAnsi="宋体" w:eastAsia="宋体" w:cs="Times New Roman"/>
          <w:sz w:val="28"/>
        </w:rPr>
        <w:t>学         号 ：</w:t>
      </w:r>
      <w:r>
        <w:rPr>
          <w:rFonts w:ascii="宋体" w:hAnsi="宋体" w:eastAsia="宋体" w:cs="Times New Roman"/>
          <w:kern w:val="0"/>
          <w:sz w:val="28"/>
          <w:u w:val="single"/>
        </w:rPr>
        <w:t xml:space="preserve">        </w:t>
      </w:r>
      <w:r>
        <w:rPr>
          <w:rFonts w:hint="eastAsia" w:ascii="宋体" w:hAnsi="宋体" w:eastAsia="宋体" w:cs="Times New Roman"/>
          <w:kern w:val="0"/>
          <w:sz w:val="28"/>
          <w:u w:val="single"/>
          <w:lang w:val="en-US" w:eastAsia="zh-CN"/>
        </w:rPr>
        <w:t xml:space="preserve">   </w:t>
      </w:r>
      <w:r>
        <w:rPr>
          <w:rFonts w:ascii="宋体" w:hAnsi="宋体" w:eastAsia="宋体" w:cs="Times New Roman"/>
          <w:kern w:val="0"/>
          <w:sz w:val="28"/>
          <w:u w:val="single"/>
        </w:rPr>
        <w:t xml:space="preserve">                 </w:t>
      </w:r>
    </w:p>
    <w:p w14:paraId="462F8FC2">
      <w:pPr>
        <w:tabs>
          <w:tab w:val="left" w:pos="3360"/>
        </w:tabs>
        <w:spacing w:before="200" w:line="360" w:lineRule="exact"/>
        <w:ind w:firstLine="1478" w:firstLineChars="528"/>
        <w:rPr>
          <w:rFonts w:ascii="宋体" w:hAnsi="宋体" w:eastAsia="宋体" w:cs="Times New Roman"/>
          <w:sz w:val="28"/>
        </w:rPr>
      </w:pPr>
      <w:r>
        <w:rPr>
          <w:rFonts w:ascii="宋体" w:hAnsi="宋体" w:eastAsia="宋体" w:cs="Times New Roman"/>
          <w:sz w:val="28"/>
        </w:rPr>
        <w:t>姓         名 ：</w:t>
      </w:r>
      <w:r>
        <w:rPr>
          <w:rFonts w:ascii="宋体" w:hAnsi="宋体" w:eastAsia="宋体" w:cs="Times New Roman"/>
          <w:kern w:val="0"/>
          <w:sz w:val="28"/>
          <w:u w:val="single"/>
        </w:rPr>
        <w:t xml:space="preserve">                         </w:t>
      </w:r>
    </w:p>
    <w:p w14:paraId="4BEEA4C4">
      <w:pPr>
        <w:tabs>
          <w:tab w:val="left" w:pos="3360"/>
        </w:tabs>
        <w:spacing w:before="200" w:line="360" w:lineRule="exact"/>
        <w:ind w:firstLine="1479" w:firstLineChars="302"/>
        <w:rPr>
          <w:rFonts w:ascii="宋体" w:hAnsi="宋体" w:eastAsia="宋体" w:cs="Times New Roman"/>
          <w:sz w:val="28"/>
        </w:rPr>
      </w:pPr>
      <w:r>
        <w:rPr>
          <w:rFonts w:ascii="宋体" w:hAnsi="宋体" w:eastAsia="宋体" w:cs="Times New Roman"/>
          <w:spacing w:val="105"/>
          <w:kern w:val="0"/>
          <w:sz w:val="28"/>
          <w:fitText w:val="2240" w:id="1676508893"/>
        </w:rPr>
        <w:t>指导教师</w:t>
      </w:r>
      <w:r>
        <w:rPr>
          <w:rFonts w:ascii="宋体" w:hAnsi="宋体" w:eastAsia="宋体" w:cs="Times New Roman"/>
          <w:spacing w:val="0"/>
          <w:kern w:val="0"/>
          <w:sz w:val="28"/>
          <w:fitText w:val="2240" w:id="1676508893"/>
        </w:rPr>
        <w:t>：</w:t>
      </w:r>
      <w:r>
        <w:rPr>
          <w:rFonts w:ascii="宋体" w:hAnsi="宋体" w:eastAsia="宋体" w:cs="Times New Roman"/>
          <w:kern w:val="0"/>
          <w:sz w:val="28"/>
          <w:u w:val="single"/>
        </w:rPr>
        <w:t xml:space="preserve">                         </w:t>
      </w:r>
    </w:p>
    <w:p w14:paraId="0F859B53">
      <w:pPr>
        <w:spacing w:before="200"/>
        <w:ind w:firstLine="2125" w:firstLineChars="759"/>
        <w:rPr>
          <w:rFonts w:ascii="Times New Roman" w:hAnsi="Times New Roman" w:cs="Times New Roman"/>
          <w:sz w:val="28"/>
        </w:rPr>
      </w:pPr>
    </w:p>
    <w:p w14:paraId="1C61573C">
      <w:pPr>
        <w:rPr>
          <w:rFonts w:ascii="Times New Roman" w:hAnsi="Times New Roman" w:cs="Times New Roman"/>
        </w:rPr>
      </w:pPr>
    </w:p>
    <w:p w14:paraId="036B9354">
      <w:pPr>
        <w:jc w:val="center"/>
        <w:rPr>
          <w:rFonts w:ascii="宋体" w:hAnsi="宋体" w:eastAsia="宋体" w:cs="Times New Roman"/>
          <w:sz w:val="28"/>
        </w:rPr>
      </w:pPr>
      <w:r>
        <w:rPr>
          <w:rFonts w:ascii="宋体" w:hAnsi="宋体" w:eastAsia="宋体" w:cs="Times New Roman"/>
          <w:sz w:val="28"/>
        </w:rPr>
        <w:t>论文完成日期:      年      月</w:t>
      </w:r>
      <w:bookmarkStart w:id="0" w:name="封2"/>
      <w:bookmarkEnd w:id="0"/>
    </w:p>
    <w:p w14:paraId="1C8C9DD2">
      <w:pPr>
        <w:snapToGrid/>
        <w:spacing w:before="480" w:beforeAutospacing="0" w:after="480" w:afterAutospacing="0" w:line="240" w:lineRule="auto"/>
        <w:ind w:left="0" w:leftChars="0" w:right="0" w:rightChars="0" w:firstLine="0" w:firstLineChars="0"/>
        <w:jc w:val="center"/>
        <w:outlineLvl w:val="0"/>
        <w:rPr>
          <w:rFonts w:hint="eastAsia" w:ascii="黑体" w:hAnsi="宋体" w:eastAsia="宋体" w:cstheme="minorBidi"/>
          <w:b/>
          <w:i w:val="0"/>
          <w:sz w:val="36"/>
          <w:lang w:val="en-US"/>
        </w:rPr>
        <w:sectPr>
          <w:pgSz w:w="11906" w:h="16838"/>
          <w:pgMar w:top="1440" w:right="1800" w:bottom="1440" w:left="1800" w:header="851" w:footer="992" w:gutter="0"/>
          <w:cols w:space="425" w:num="1"/>
          <w:docGrid w:type="lines" w:linePitch="312" w:charSpace="0"/>
        </w:sectPr>
      </w:pPr>
      <w:bookmarkStart w:id="1" w:name="_Toc16924"/>
    </w:p>
    <w:sdt>
      <w:sdtPr>
        <w:rPr>
          <w:rFonts w:ascii="宋体" w:hAnsi="宋体" w:eastAsia="宋体" w:cs="Arial"/>
          <w:kern w:val="2"/>
          <w:sz w:val="21"/>
          <w:szCs w:val="22"/>
          <w:lang w:val="en-US" w:eastAsia="zh-CN" w:bidi="ar-SA"/>
        </w:rPr>
        <w:id w:val="147459539"/>
        <w15:color w:val="DBDBDB"/>
        <w:docPartObj>
          <w:docPartGallery w:val="Table of Contents"/>
          <w:docPartUnique/>
        </w:docPartObj>
      </w:sdtPr>
      <w:sdtEndPr>
        <w:rPr>
          <w:rFonts w:hint="eastAsia" w:ascii="黑体" w:hAnsi="宋体" w:eastAsia="宋体" w:cstheme="minorBidi"/>
          <w:i w:val="0"/>
          <w:kern w:val="2"/>
          <w:sz w:val="21"/>
          <w:szCs w:val="22"/>
          <w:lang w:val="en-US" w:eastAsia="zh-CN" w:bidi="ar-SA"/>
        </w:rPr>
      </w:sdtEndPr>
      <w:sdtContent>
        <w:p w14:paraId="1C5605FF">
          <w:pPr>
            <w:spacing w:before="0" w:beforeLines="0" w:after="0" w:afterLines="0" w:line="360" w:lineRule="auto"/>
            <w:ind w:left="0" w:leftChars="0" w:right="0" w:rightChars="0" w:firstLine="0" w:firstLineChars="0"/>
            <w:jc w:val="center"/>
            <w:rPr>
              <w:rFonts w:hint="eastAsia" w:ascii="黑体" w:hAnsi="黑体" w:eastAsia="黑体" w:cs="黑体"/>
              <w:sz w:val="24"/>
              <w:szCs w:val="24"/>
            </w:rPr>
          </w:pPr>
          <w:r>
            <w:rPr>
              <w:rFonts w:hint="eastAsia" w:ascii="黑体" w:hAnsi="黑体" w:eastAsia="黑体" w:cs="黑体"/>
              <w:sz w:val="24"/>
              <w:szCs w:val="24"/>
            </w:rPr>
            <w:t>目录</w:t>
          </w:r>
        </w:p>
        <w:p w14:paraId="096FE0CF">
          <w:pPr>
            <w:pStyle w:val="5"/>
            <w:tabs>
              <w:tab w:val="right" w:leader="dot" w:pos="8306"/>
            </w:tabs>
            <w:spacing w:line="360" w:lineRule="auto"/>
            <w:rPr>
              <w:rFonts w:hint="eastAsia" w:ascii="黑体" w:hAnsi="黑体" w:eastAsia="黑体" w:cs="黑体"/>
              <w:sz w:val="24"/>
              <w:szCs w:val="24"/>
            </w:rPr>
          </w:pPr>
          <w:r>
            <w:rPr>
              <w:rFonts w:hint="eastAsia" w:ascii="黑体" w:hAnsi="黑体" w:eastAsia="黑体" w:cs="黑体"/>
              <w:b/>
              <w:i w:val="0"/>
              <w:sz w:val="24"/>
              <w:szCs w:val="24"/>
              <w:lang w:val="en-US"/>
            </w:rPr>
            <w:fldChar w:fldCharType="begin"/>
          </w:r>
          <w:r>
            <w:rPr>
              <w:rFonts w:hint="eastAsia" w:ascii="黑体" w:hAnsi="黑体" w:eastAsia="黑体" w:cs="黑体"/>
              <w:b/>
              <w:i w:val="0"/>
              <w:sz w:val="24"/>
              <w:szCs w:val="24"/>
              <w:lang w:val="en-US"/>
            </w:rPr>
            <w:instrText xml:space="preserve">TOC \o "1-3" \h \u </w:instrText>
          </w:r>
          <w:r>
            <w:rPr>
              <w:rFonts w:hint="eastAsia" w:ascii="黑体" w:hAnsi="黑体" w:eastAsia="黑体" w:cs="黑体"/>
              <w:b/>
              <w:i w:val="0"/>
              <w:sz w:val="24"/>
              <w:szCs w:val="24"/>
              <w:lang w:val="en-US"/>
            </w:rPr>
            <w:fldChar w:fldCharType="separate"/>
          </w: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_Toc4595 </w:instrText>
          </w:r>
          <w:r>
            <w:rPr>
              <w:rFonts w:hint="eastAsia" w:ascii="黑体" w:hAnsi="黑体" w:eastAsia="黑体" w:cs="黑体"/>
              <w:i w:val="0"/>
              <w:sz w:val="24"/>
              <w:szCs w:val="24"/>
              <w:lang w:val="en-US"/>
            </w:rPr>
            <w:fldChar w:fldCharType="separate"/>
          </w:r>
          <w:r>
            <w:rPr>
              <w:rFonts w:hint="eastAsia" w:ascii="黑体" w:hAnsi="黑体" w:eastAsia="黑体" w:cs="黑体"/>
              <w:i w:val="0"/>
              <w:sz w:val="24"/>
              <w:szCs w:val="24"/>
              <w:lang w:val="en-US"/>
            </w:rPr>
            <w:t>摘要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_Toc4595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4C55D1CC">
          <w:pPr>
            <w:pStyle w:val="5"/>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_Toc1395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一、我国行政法理论基础确立的逻辑起点与研究价值</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_Toc1395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74D17C71">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_Toc15237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（一）行政法理论基础的概念界定与功能定位</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_Toc15237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4505E435">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_Toc22217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（二）我国行政法理论基础研究的现实语境</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_Toc22217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0EE4DD7F">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_Toc16128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（三）研究维度与范围划定</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_Toc16128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55B49E8E">
          <w:pPr>
            <w:pStyle w:val="5"/>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_Toc16644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二、我国行政法理论基础的学说脉络与核心主张</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_Toc16644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50C56A74">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_Toc4333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（一）传统理论学说的形成与特征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_Toc4333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7A676BFE">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_Toc19843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1.管理论的历史背景与内容要点</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_Toc19843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5B5DA2C1">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_Toc18501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2.控权论的引入路径与理论内核</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_Toc18501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6ACCA255">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_Toc26147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（二）当代主流学说的发展与争议</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_Toc26147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4DC5E203">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_Toc17166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1.平衡论的逻辑架构与实践指向</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_Toc17166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43700445">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_Toc9706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2.服务论的价值立场与体系构想</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_Toc9706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46A9B482">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_Toc30952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（三）学说间的互动与融合趋势</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_Toc30952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03537CAC">
          <w:pPr>
            <w:pStyle w:val="5"/>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_Toc13032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三、我国行政法理论基础确立的现实条件与制约因素</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_Toc13032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0C509365">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_Toc16918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（一）理论确立的实践基础</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_Toc16918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738D389D">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_Toc23417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1.行政立法实践的经验积累</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_Toc23417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17032EE1">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_Toc22589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2.行政司法案例的规则提炼</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_Toc22589 \h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1454CAB7">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_Toc28186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（二）理论确立的文化与制度环境</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_Toc28186 \h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688B890B">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_Toc4920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1.法治文化对理论选择的影响</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_Toc4920 \h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5907F9BE">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_Toc3632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2.政治体制与理论适配性特征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_Toc3632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36DB2AA3">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_Toc17155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（三）理论确立的主要制约</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_Toc17155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479F4AA4">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_Toc17736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1.新型行政行为的理论解释困境</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_Toc17736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1F893537">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_Toc26226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2.区域行政法治差异的整合难度</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_Toc26226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1972EEFA">
          <w:pPr>
            <w:pStyle w:val="5"/>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_Toc14736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四、我国行政法理论基础确立的核心要素与整合路径</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_Toc14736 \h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18D5640E">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_Toc8639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（一）理论基础的价值内核构建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_Toc8639 \h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469E499E">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_Toc29676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1.权利保障与权力规制的平衡</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_Toc29676 \h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6B7A1ECB">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_Toc29095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2.效率与公平的价值协调</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_Toc29095 \h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052DC4BC">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_Toc7777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（二）理论体系的框架设计</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_Toc7777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5BC9F5D2">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_Toc24156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1.核心范畴的明确界</w:t>
          </w:r>
          <w:bookmarkStart w:id="71" w:name="_GoBack"/>
          <w:bookmarkEnd w:id="71"/>
          <w:r>
            <w:rPr>
              <w:rFonts w:hint="eastAsia" w:ascii="黑体" w:hAnsi="黑体" w:eastAsia="黑体" w:cs="黑体"/>
              <w:bCs/>
              <w:kern w:val="2"/>
              <w:sz w:val="24"/>
              <w:szCs w:val="24"/>
              <w:lang w:val="en-US" w:eastAsia="zh-CN" w:bidi="ar-SA"/>
            </w:rPr>
            <w:t>定</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_Toc24156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3503DA48">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_Toc25636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2.逻辑层次的有序构建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_Toc25636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3116DCCA">
          <w:pPr>
            <w:pStyle w:val="6"/>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_Toc30999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（三）理论与实践的衔接机制</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_Toc30999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3A02D386">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_Toc8461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1.立法环节的理论转化路径</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_Toc8461 \h </w:instrText>
          </w:r>
          <w:r>
            <w:rPr>
              <w:rFonts w:hint="eastAsia" w:ascii="黑体" w:hAnsi="黑体" w:eastAsia="黑体" w:cs="黑体"/>
              <w:sz w:val="24"/>
              <w:szCs w:val="24"/>
            </w:rPr>
            <w:fldChar w:fldCharType="separate"/>
          </w:r>
          <w:r>
            <w:rPr>
              <w:rFonts w:hint="eastAsia" w:ascii="黑体" w:hAnsi="黑体" w:eastAsia="黑体" w:cs="黑体"/>
              <w:sz w:val="24"/>
              <w:szCs w:val="24"/>
            </w:rPr>
            <w:t>12</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4FA286A1">
          <w:pPr>
            <w:pStyle w:val="4"/>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_Toc10154 </w:instrText>
          </w:r>
          <w:r>
            <w:rPr>
              <w:rFonts w:hint="eastAsia" w:ascii="黑体" w:hAnsi="黑体" w:eastAsia="黑体" w:cs="黑体"/>
              <w:i w:val="0"/>
              <w:sz w:val="24"/>
              <w:szCs w:val="24"/>
              <w:lang w:val="en-US"/>
            </w:rPr>
            <w:fldChar w:fldCharType="separate"/>
          </w:r>
          <w:r>
            <w:rPr>
              <w:rFonts w:hint="eastAsia" w:ascii="黑体" w:hAnsi="黑体" w:eastAsia="黑体" w:cs="黑体"/>
              <w:bCs/>
              <w:kern w:val="2"/>
              <w:sz w:val="24"/>
              <w:szCs w:val="24"/>
              <w:lang w:val="en-US" w:eastAsia="zh-CN" w:bidi="ar-SA"/>
            </w:rPr>
            <w:t>2.执法与司法中的理论应用方式</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_Toc10154 \h </w:instrText>
          </w:r>
          <w:r>
            <w:rPr>
              <w:rFonts w:hint="eastAsia" w:ascii="黑体" w:hAnsi="黑体" w:eastAsia="黑体" w:cs="黑体"/>
              <w:sz w:val="24"/>
              <w:szCs w:val="24"/>
            </w:rPr>
            <w:fldChar w:fldCharType="separate"/>
          </w:r>
          <w:r>
            <w:rPr>
              <w:rFonts w:hint="eastAsia" w:ascii="黑体" w:hAnsi="黑体" w:eastAsia="黑体" w:cs="黑体"/>
              <w:sz w:val="24"/>
              <w:szCs w:val="24"/>
            </w:rPr>
            <w:t>12</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2EB1E959">
          <w:pPr>
            <w:pStyle w:val="5"/>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_Toc16261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五、结论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_Toc16261 \h </w:instrText>
          </w:r>
          <w:r>
            <w:rPr>
              <w:rFonts w:hint="eastAsia" w:ascii="黑体" w:hAnsi="黑体" w:eastAsia="黑体" w:cs="黑体"/>
              <w:sz w:val="24"/>
              <w:szCs w:val="24"/>
            </w:rPr>
            <w:fldChar w:fldCharType="separate"/>
          </w:r>
          <w:r>
            <w:rPr>
              <w:rFonts w:hint="eastAsia" w:ascii="黑体" w:hAnsi="黑体" w:eastAsia="黑体" w:cs="黑体"/>
              <w:sz w:val="24"/>
              <w:szCs w:val="24"/>
            </w:rPr>
            <w:t>13</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2305601A">
          <w:pPr>
            <w:pStyle w:val="5"/>
            <w:tabs>
              <w:tab w:val="right" w:leader="dot" w:pos="8306"/>
            </w:tabs>
            <w:spacing w:line="360" w:lineRule="auto"/>
            <w:rPr>
              <w:rFonts w:hint="eastAsia" w:ascii="黑体" w:hAnsi="黑体" w:eastAsia="黑体" w:cs="黑体"/>
              <w:sz w:val="24"/>
              <w:szCs w:val="24"/>
            </w:rPr>
          </w:pPr>
          <w:r>
            <w:rPr>
              <w:rFonts w:hint="eastAsia" w:ascii="黑体" w:hAnsi="黑体" w:eastAsia="黑体" w:cs="黑体"/>
              <w:i w:val="0"/>
              <w:sz w:val="24"/>
              <w:szCs w:val="24"/>
              <w:lang w:val="en-US"/>
            </w:rPr>
            <w:fldChar w:fldCharType="begin"/>
          </w:r>
          <w:r>
            <w:rPr>
              <w:rFonts w:hint="eastAsia" w:ascii="黑体" w:hAnsi="黑体" w:eastAsia="黑体" w:cs="黑体"/>
              <w:i w:val="0"/>
              <w:sz w:val="24"/>
              <w:szCs w:val="24"/>
              <w:lang w:val="en-US"/>
            </w:rPr>
            <w:instrText xml:space="preserve"> HYPERLINK \l _Toc16211 </w:instrText>
          </w:r>
          <w:r>
            <w:rPr>
              <w:rFonts w:hint="eastAsia" w:ascii="黑体" w:hAnsi="黑体" w:eastAsia="黑体" w:cs="黑体"/>
              <w:i w:val="0"/>
              <w:sz w:val="24"/>
              <w:szCs w:val="24"/>
              <w:lang w:val="en-US"/>
            </w:rPr>
            <w:fldChar w:fldCharType="separate"/>
          </w:r>
          <w:r>
            <w:rPr>
              <w:rFonts w:hint="eastAsia" w:ascii="黑体" w:hAnsi="黑体" w:eastAsia="黑体" w:cs="黑体"/>
              <w:sz w:val="24"/>
              <w:szCs w:val="24"/>
              <w:lang w:val="en-US"/>
            </w:rPr>
            <w:t>参考文献：</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_Toc16211 \h </w:instrText>
          </w:r>
          <w:r>
            <w:rPr>
              <w:rFonts w:hint="eastAsia" w:ascii="黑体" w:hAnsi="黑体" w:eastAsia="黑体" w:cs="黑体"/>
              <w:sz w:val="24"/>
              <w:szCs w:val="24"/>
            </w:rPr>
            <w:fldChar w:fldCharType="separate"/>
          </w:r>
          <w:r>
            <w:rPr>
              <w:rFonts w:hint="eastAsia" w:ascii="黑体" w:hAnsi="黑体" w:eastAsia="黑体" w:cs="黑体"/>
              <w:sz w:val="24"/>
              <w:szCs w:val="24"/>
            </w:rPr>
            <w:t>14</w:t>
          </w:r>
          <w:r>
            <w:rPr>
              <w:rFonts w:hint="eastAsia" w:ascii="黑体" w:hAnsi="黑体" w:eastAsia="黑体" w:cs="黑体"/>
              <w:sz w:val="24"/>
              <w:szCs w:val="24"/>
            </w:rPr>
            <w:fldChar w:fldCharType="end"/>
          </w:r>
          <w:r>
            <w:rPr>
              <w:rFonts w:hint="eastAsia" w:ascii="黑体" w:hAnsi="黑体" w:eastAsia="黑体" w:cs="黑体"/>
              <w:i w:val="0"/>
              <w:sz w:val="24"/>
              <w:szCs w:val="24"/>
              <w:lang w:val="en-US"/>
            </w:rPr>
            <w:fldChar w:fldCharType="end"/>
          </w:r>
        </w:p>
        <w:p w14:paraId="13E58BE4">
          <w:pPr>
            <w:snapToGrid/>
            <w:spacing w:before="480" w:beforeAutospacing="0" w:after="480" w:afterAutospacing="0" w:line="360" w:lineRule="auto"/>
            <w:ind w:left="0" w:leftChars="0" w:right="0" w:rightChars="0" w:firstLine="0" w:firstLineChars="0"/>
            <w:jc w:val="center"/>
            <w:outlineLvl w:val="0"/>
            <w:rPr>
              <w:rFonts w:hint="eastAsia" w:ascii="黑体" w:hAnsi="宋体" w:eastAsia="宋体" w:cstheme="minorBidi"/>
              <w:i w:val="0"/>
              <w:kern w:val="2"/>
              <w:sz w:val="21"/>
              <w:szCs w:val="22"/>
              <w:lang w:val="en-US" w:eastAsia="zh-CN" w:bidi="ar-SA"/>
            </w:rPr>
          </w:pPr>
          <w:r>
            <w:rPr>
              <w:rFonts w:hint="eastAsia" w:ascii="黑体" w:hAnsi="黑体" w:eastAsia="黑体" w:cs="黑体"/>
              <w:i w:val="0"/>
              <w:sz w:val="24"/>
              <w:szCs w:val="24"/>
              <w:lang w:val="en-US"/>
            </w:rPr>
            <w:fldChar w:fldCharType="end"/>
          </w:r>
        </w:p>
      </w:sdtContent>
    </w:sdt>
    <w:p w14:paraId="0381C7EE">
      <w:pPr>
        <w:snapToGrid/>
        <w:spacing w:before="480" w:beforeAutospacing="0" w:after="480" w:afterAutospacing="0" w:line="240" w:lineRule="auto"/>
        <w:ind w:left="0" w:leftChars="0" w:right="0" w:rightChars="0" w:firstLine="0" w:firstLineChars="0"/>
        <w:jc w:val="center"/>
        <w:outlineLvl w:val="0"/>
        <w:rPr>
          <w:rFonts w:hint="eastAsia" w:ascii="黑体" w:hAnsi="宋体" w:eastAsia="宋体" w:cstheme="minorBidi"/>
          <w:i w:val="0"/>
          <w:kern w:val="2"/>
          <w:sz w:val="21"/>
          <w:szCs w:val="22"/>
          <w:lang w:val="en-US" w:eastAsia="zh-CN" w:bidi="ar-SA"/>
        </w:rPr>
        <w:sectPr>
          <w:pgSz w:w="11906" w:h="16838"/>
          <w:pgMar w:top="1440" w:right="1800" w:bottom="1440" w:left="1800" w:header="851" w:footer="992" w:gutter="0"/>
          <w:cols w:space="425" w:num="1"/>
          <w:docGrid w:type="lines" w:linePitch="312" w:charSpace="0"/>
        </w:sectPr>
      </w:pPr>
    </w:p>
    <w:p w14:paraId="626D8495">
      <w:pPr>
        <w:snapToGrid/>
        <w:spacing w:before="480" w:beforeAutospacing="0" w:after="480" w:afterAutospacing="0" w:line="240" w:lineRule="auto"/>
        <w:ind w:left="0" w:leftChars="0" w:right="0" w:rightChars="0" w:firstLine="0" w:firstLineChars="0"/>
        <w:jc w:val="center"/>
        <w:outlineLvl w:val="0"/>
        <w:rPr>
          <w:rFonts w:hint="eastAsia" w:ascii="黑体" w:hAnsi="宋体" w:eastAsia="宋体" w:cstheme="minorBidi"/>
          <w:b/>
          <w:i w:val="0"/>
          <w:sz w:val="36"/>
          <w:lang w:val="en-US"/>
        </w:rPr>
      </w:pPr>
      <w:bookmarkStart w:id="2" w:name="_Toc4595"/>
      <w:r>
        <w:rPr>
          <w:rFonts w:hint="eastAsia" w:ascii="黑体" w:hAnsi="宋体" w:eastAsia="宋体" w:cstheme="minorBidi"/>
          <w:b/>
          <w:i w:val="0"/>
          <w:sz w:val="36"/>
          <w:lang w:val="en-US"/>
        </w:rPr>
        <w:t>摘要</w:t>
      </w:r>
      <w:bookmarkEnd w:id="1"/>
      <w:bookmarkEnd w:id="2"/>
    </w:p>
    <w:p w14:paraId="147CC9C8">
      <w:pPr>
        <w:snapToGrid/>
        <w:spacing w:beforeAutospacing="0" w:afterAutospacing="0" w:line="360" w:lineRule="auto"/>
        <w:ind w:left="0" w:leftChars="0" w:right="0" w:rightChars="0" w:firstLine="560" w:firstLineChars="200"/>
        <w:jc w:val="left"/>
        <w:rPr>
          <w:rFonts w:hint="eastAsia" w:ascii="宋体" w:hAnsi="宋体" w:eastAsia="宋体" w:cstheme="minorBidi"/>
          <w:sz w:val="28"/>
          <w:lang w:val="en-US"/>
        </w:rPr>
      </w:pPr>
      <w:r>
        <w:rPr>
          <w:rFonts w:hint="eastAsia" w:ascii="宋体" w:hAnsi="宋体" w:eastAsia="宋体" w:cstheme="minorBidi"/>
          <w:b w:val="0"/>
          <w:i w:val="0"/>
          <w:sz w:val="28"/>
          <w:lang w:val="en-US"/>
        </w:rPr>
        <w:t>行政法理论基础是行政法学体系的逻辑起点与核心支撑，从根本上决定着行政法的价值取向、制度架构与实践走向。我国行政法理论基础研究历经管理论、控权论、平衡论、服务论等多种学说的争鸣、反思与演进，在借鉴域外经验与立足本土实践的过程中，逐步形成兼具中国本土性与时代适应性的理论脉络。本文以行政法理论基础的概念界定、功能定位为逻辑起点，系统梳理其学说发展与核心主张，深入剖析理论确立的现实条件与制约因素，从价值内核、体系框架、实践衔接三个维度整合构建我国行政法理论基础的确立路径，旨在为中国特色行政法学自主知识体系建设、法治政府建设提供坚实理论支撑与明确方向指引。</w:t>
      </w:r>
    </w:p>
    <w:p w14:paraId="5473FEB3">
      <w:pPr>
        <w:snapToGrid/>
        <w:spacing w:beforeAutospacing="0" w:afterAutospacing="0" w:line="360" w:lineRule="auto"/>
        <w:ind w:left="0" w:leftChars="0" w:right="0" w:rightChars="0" w:firstLine="560" w:firstLineChars="200"/>
        <w:jc w:val="both"/>
        <w:rPr>
          <w:rFonts w:hint="eastAsia" w:ascii="宋体" w:hAnsi="宋体" w:eastAsia="宋体" w:cstheme="minorBidi"/>
          <w:b w:val="0"/>
          <w:i w:val="0"/>
          <w:sz w:val="28"/>
          <w:lang w:val="en-US"/>
        </w:rPr>
      </w:pPr>
    </w:p>
    <w:p w14:paraId="35E64909">
      <w:pPr>
        <w:snapToGrid/>
        <w:spacing w:beforeAutospacing="0" w:afterAutospacing="0" w:line="360" w:lineRule="auto"/>
        <w:ind w:left="0" w:leftChars="0" w:right="0" w:rightChars="0" w:firstLine="560" w:firstLineChars="200"/>
        <w:jc w:val="both"/>
        <w:rPr>
          <w:rFonts w:hint="eastAsia" w:ascii="宋体" w:hAnsi="宋体" w:eastAsia="宋体" w:cstheme="minorBidi"/>
          <w:sz w:val="24"/>
          <w:lang w:val="en-US"/>
        </w:rPr>
      </w:pPr>
      <w:r>
        <w:rPr>
          <w:rFonts w:hint="eastAsia" w:ascii="宋体" w:hAnsi="宋体" w:eastAsia="宋体" w:cstheme="minorBidi"/>
          <w:b w:val="0"/>
          <w:i w:val="0"/>
          <w:sz w:val="28"/>
          <w:lang w:val="en-US"/>
        </w:rPr>
        <w:t>关键词：行政法；理论基础；确立</w:t>
      </w:r>
    </w:p>
    <w:p w14:paraId="41BF1D22">
      <w:pPr>
        <w:spacing w:line="360" w:lineRule="auto"/>
        <w:ind w:firstLine="480" w:firstLineChars="200"/>
        <w:rPr>
          <w:rFonts w:hint="eastAsia" w:ascii="宋体" w:hAnsi="宋体" w:eastAsia="宋体" w:cstheme="minorBidi"/>
          <w:sz w:val="24"/>
          <w:lang w:val="en-US"/>
        </w:rPr>
        <w:sectPr>
          <w:pgSz w:w="11906" w:h="16838"/>
          <w:pgMar w:top="1440" w:right="1800" w:bottom="1440" w:left="1800" w:header="851" w:footer="992" w:gutter="0"/>
          <w:cols w:space="425" w:num="1"/>
          <w:docGrid w:type="lines" w:linePitch="312" w:charSpace="0"/>
        </w:sectPr>
      </w:pPr>
    </w:p>
    <w:p w14:paraId="1584AAD3">
      <w:pPr>
        <w:snapToGrid/>
        <w:spacing w:before="480" w:beforeAutospacing="0" w:after="480" w:afterAutospacing="0" w:line="240" w:lineRule="auto"/>
        <w:ind w:left="0" w:leftChars="0" w:right="0" w:rightChars="0" w:firstLine="0" w:firstLineChars="0"/>
        <w:jc w:val="left"/>
        <w:outlineLvl w:val="0"/>
        <w:rPr>
          <w:rFonts w:hint="eastAsia" w:ascii="黑体" w:hAnsi="宋体" w:eastAsia="黑体" w:cstheme="minorBidi"/>
          <w:b/>
          <w:sz w:val="36"/>
          <w:lang w:val="en-US"/>
        </w:rPr>
      </w:pPr>
      <w:bookmarkStart w:id="3" w:name="_Toc25438"/>
      <w:bookmarkStart w:id="4" w:name="_Toc1395"/>
      <w:r>
        <w:rPr>
          <w:rFonts w:hint="eastAsia" w:ascii="黑体" w:hAnsi="宋体" w:eastAsia="黑体" w:cstheme="minorBidi"/>
          <w:b/>
          <w:sz w:val="36"/>
          <w:lang w:val="en-US"/>
        </w:rPr>
        <w:t>一、我国行政法理论基础确立的逻辑起点与研究价值</w:t>
      </w:r>
      <w:bookmarkEnd w:id="3"/>
      <w:bookmarkEnd w:id="4"/>
    </w:p>
    <w:p w14:paraId="4AD52E70">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5" w:name="_Toc8216"/>
      <w:bookmarkStart w:id="6" w:name="_Toc15237"/>
      <w:r>
        <w:rPr>
          <w:rFonts w:hint="eastAsia" w:ascii="黑体" w:hAnsi="宋体" w:eastAsia="黑体" w:cstheme="minorBidi"/>
          <w:b/>
          <w:sz w:val="30"/>
          <w:lang w:val="en-US"/>
        </w:rPr>
        <w:t>（一）行政法理论基础的概念界定与功能定位</w:t>
      </w:r>
      <w:bookmarkEnd w:id="5"/>
      <w:bookmarkEnd w:id="6"/>
    </w:p>
    <w:p w14:paraId="5608FD3A">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行政法理论基础是贯穿行政立法、执法、司法全过程，统摄行政法学体系的核心原理与根本遵循，是揭示行政法本质、回应行政法治实践、指引学科发展的基础性理论。作为行政法的“元理论”，其并非针对具体制度的碎片化主张，而是涵盖本体论、价值论、方法论的系统性认知，是行政法学区别于其他部门法的核心标识。从功能定位来看，行政法理论基础具备四重核心价值：其一，体系整合功能，以核心原理串联行政组织法、行政行为法、行政救济法等分支领域，构建逻辑自洽的学科体系；其二，价值引领功能，确立行政法的核心价值取向，平衡权力规制、权利保障、公共利益、社会效率等多元价值；其三，实践指导功能，为行政立法的制度设计、行政执法的规范行使、行政司法的裁判标准提供理论依据；其四，时代回应功能，适配国家治理转型、行政模式变革、社会需求升级的现实要求，推动行政法理论与实践同步发展。</w:t>
      </w:r>
    </w:p>
    <w:p w14:paraId="08B8D7D7">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7" w:name="_Toc20888"/>
      <w:bookmarkStart w:id="8" w:name="_Toc22217"/>
      <w:r>
        <w:rPr>
          <w:rFonts w:hint="eastAsia" w:ascii="黑体" w:hAnsi="宋体" w:eastAsia="黑体" w:cstheme="minorBidi"/>
          <w:b/>
          <w:sz w:val="30"/>
          <w:lang w:val="en-US"/>
        </w:rPr>
        <w:t>（二）我国行政法理论基础研究的现实语境</w:t>
      </w:r>
      <w:bookmarkEnd w:id="7"/>
      <w:bookmarkEnd w:id="8"/>
    </w:p>
    <w:p w14:paraId="ACA7C2C9">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我国行政法理论基础研究植根于中国特色社会主义法治建设的现实土壤，兼具法治转型的普遍性与本土实践的特殊性。从历史维度看，我国行政法学起步于改革开放后，伴随计划经济向市场经济转型、管理型政府向服务型政府转变、人治传统向法治文明跨越的进程逐步深化，理论研究始终与国家治理现代化同频共振。从现实语境看，当前我国已进入全面依法治国、建设法治政府的关键阶段，行政权的运行边界、行使方式、监督机制面临全新挑战：数字行政、柔性行政、区域协同行政等新型行政形态不断涌现，传统行政法理论难以完全适配；公民权利意识觉醒，对行政权的合法性、合理性、服务性提出更高要求；行政法治实践中，权力滥用、权责脱节、救济不畅等问题仍需理论破解。在此背景下，确立科学、统一、适配本土的行政法理论基础，成为行政法学研究的核心命题。</w:t>
      </w:r>
    </w:p>
    <w:p w14:paraId="EE1F192A">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9" w:name="_Toc27260"/>
      <w:bookmarkStart w:id="10" w:name="_Toc16128"/>
      <w:r>
        <w:rPr>
          <w:rFonts w:hint="eastAsia" w:ascii="黑体" w:hAnsi="宋体" w:eastAsia="黑体" w:cstheme="minorBidi"/>
          <w:b/>
          <w:sz w:val="30"/>
          <w:lang w:val="en-US"/>
        </w:rPr>
        <w:t>（三）研究维度与范围划定</w:t>
      </w:r>
      <w:bookmarkEnd w:id="9"/>
      <w:bookmarkEnd w:id="10"/>
    </w:p>
    <w:p w14:paraId="4452D3B6">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本文的研究维度以理论溯源—现状剖析—路径构建为核心逻辑，范围划定兼顾理论与实践、历史与现实、本土与域外：在理论层面，聚焦行政法理论基础的概念、功能、学说脉络，厘清各学说的核心主张与争议焦点；在实践层面，立足我国行政立法、执法、司法的实践经验，分析理论确立的现实基础与制约因素；在价值层面，以权利保障与权力规制、效率与公平的平衡为核心，构建契合中国国情的理论价值内核；在体系层面，明确行政法核心范畴，搭建层次清晰、逻辑严谨的理论框架。研究范围排除纯粹域外理论的照搬套用，立足我国政治体制、法治文化、行政实践，聚焦中国特色行政法理论基础的确立，避免脱离本土语境的空泛探讨，确保理论研究的针对性与实用性。</w:t>
      </w:r>
    </w:p>
    <w:p w14:paraId="0308AC9E">
      <w:pPr>
        <w:snapToGrid/>
        <w:spacing w:before="480" w:beforeAutospacing="0" w:after="480" w:afterAutospacing="0" w:line="240" w:lineRule="auto"/>
        <w:ind w:left="0" w:leftChars="0" w:right="0" w:rightChars="0" w:firstLine="0" w:firstLineChars="0"/>
        <w:jc w:val="left"/>
        <w:outlineLvl w:val="0"/>
        <w:rPr>
          <w:rFonts w:hint="eastAsia" w:ascii="黑体" w:hAnsi="宋体" w:eastAsia="黑体" w:cstheme="minorBidi"/>
          <w:b/>
          <w:sz w:val="36"/>
          <w:lang w:val="en-US"/>
        </w:rPr>
      </w:pPr>
      <w:bookmarkStart w:id="11" w:name="_Toc10834"/>
      <w:bookmarkStart w:id="12" w:name="_Toc16644"/>
      <w:r>
        <w:rPr>
          <w:rFonts w:hint="eastAsia" w:ascii="黑体" w:hAnsi="宋体" w:eastAsia="黑体" w:cstheme="minorBidi"/>
          <w:b/>
          <w:sz w:val="36"/>
          <w:lang w:val="en-US"/>
        </w:rPr>
        <w:t>二、我国行政法理论基础的学说脉络与核心主张</w:t>
      </w:r>
      <w:bookmarkEnd w:id="11"/>
      <w:bookmarkEnd w:id="12"/>
    </w:p>
    <w:p w14:paraId="1BC8EFCE">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13" w:name="_Toc21309"/>
      <w:bookmarkStart w:id="14" w:name="_Toc4333"/>
      <w:r>
        <w:rPr>
          <w:rFonts w:hint="eastAsia" w:ascii="黑体" w:hAnsi="宋体" w:eastAsia="黑体" w:cstheme="minorBidi"/>
          <w:b/>
          <w:sz w:val="30"/>
          <w:lang w:val="en-US"/>
        </w:rPr>
        <w:t>（一）传统理论学说的形成与特征</w:t>
      </w:r>
      <w:bookmarkEnd w:id="13"/>
      <w:bookmarkEnd w:id="14"/>
    </w:p>
    <w:p w14:paraId="07A7B5EE">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15" w:name="_Toc18279"/>
      <w:bookmarkStart w:id="16" w:name="_Toc19843"/>
      <w:r>
        <w:rPr>
          <w:rFonts w:hint="eastAsia" w:ascii="黑体" w:hAnsi="黑体" w:eastAsia="黑体" w:cstheme="minorBidi"/>
          <w:b/>
          <w:bCs/>
          <w:kern w:val="2"/>
          <w:sz w:val="24"/>
          <w:szCs w:val="24"/>
          <w:lang w:val="en-US" w:eastAsia="zh-CN" w:bidi="ar-SA"/>
        </w:rPr>
        <w:t>1.管理论的历史背景与内容要点</w:t>
      </w:r>
      <w:bookmarkEnd w:id="15"/>
      <w:bookmarkEnd w:id="16"/>
    </w:p>
    <w:p w14:paraId="FF25600D">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管理论是我国行政法理论基础的早期形态，形成于计划经济时期，深受苏联行政法学影响。其历史背景在于，计划经济体制下国家承担全面管理社会、经济、文化事务的职能，行政权处于绝对主导地位，行政法的核心功能是保障国家行政管理权的有效行使。管理论的核心内容可概括为三点：一是定位认知，将行政法定性为“国家管理法”，认为行政法是国家实施行政管理的工具，核心目标是维护行政秩序、保障行政效率；二是关系界定，强调行政主体与相对人之间的管理与被管理、命令与服从关系，忽视相对人的权利主体地位；三是制度导向，侧重赋予行政机关职权、设定相对人义务，弱化对行政权的监督制约，行政救济制度处于附属地位。管理论契合了计划经济时期的国家治理需求，推动了早期行政法制的建立，但存在明显局限：过度强调行政权权威，忽视权利保障，与现代法治精神相悖，随着市场经济发展逐步被学界反思与超越。</w:t>
      </w:r>
    </w:p>
    <w:p w14:paraId="CAB7AE93">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17" w:name="_Toc26009"/>
      <w:bookmarkStart w:id="18" w:name="_Toc18501"/>
      <w:r>
        <w:rPr>
          <w:rFonts w:hint="eastAsia" w:ascii="黑体" w:hAnsi="黑体" w:eastAsia="黑体" w:cstheme="minorBidi"/>
          <w:b/>
          <w:bCs/>
          <w:kern w:val="2"/>
          <w:sz w:val="24"/>
          <w:szCs w:val="24"/>
          <w:lang w:val="en-US" w:eastAsia="zh-CN" w:bidi="ar-SA"/>
        </w:rPr>
        <w:t>2.控权论的引入路径与理论内核</w:t>
      </w:r>
      <w:bookmarkEnd w:id="17"/>
      <w:bookmarkEnd w:id="18"/>
    </w:p>
    <w:p w14:paraId="06AC9EE8">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控权论源自英美行政法传统，于20世纪80年代末引入我国，伴随《行政诉讼法》的制定与实施成为学界热议的学说。其引入背景在于，改革开放后公民权利意识觉醒，行政权滥用问题凸显，学界反思管理论的弊端，借鉴域外控权理念，寻求规范行政权的理论路径。控权论的理论内核聚焦行政权控制：其一，核心立场，认为行政法的本质是“控权法”，核心目的是防止行政权扩张、滥用，保障公民、法人的合法权益；其二，逻辑起点，基于行政权的扩张性、侵害性，主张通过法律严格限定行政权的边界；其三，制度路径，以司法审查、行政程序、法律保留为核心手段，强化立法、司法对行政权的外部制约，强调“法无授权即禁止”的行政准则。控权论扭转了管理论重权力、轻权利的偏向，推动了我国行政救济、行政程序制度的建立，但也存在局限性：过度强调控权忽视行政权的积极功能，难以适配服务型政府建设中行政机关履行公共服务、社会治理职责的需求，与我国集中统一的政治体制存在一定适配性矛盾。</w:t>
      </w:r>
    </w:p>
    <w:p w14:paraId="8AC0620A">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19" w:name="_Toc1191"/>
      <w:bookmarkStart w:id="20" w:name="_Toc26147"/>
      <w:r>
        <w:rPr>
          <w:rFonts w:hint="eastAsia" w:ascii="黑体" w:hAnsi="宋体" w:eastAsia="黑体" w:cstheme="minorBidi"/>
          <w:b/>
          <w:sz w:val="30"/>
          <w:lang w:val="en-US"/>
        </w:rPr>
        <w:t>（二）当代主流学说的发展与争议</w:t>
      </w:r>
      <w:bookmarkEnd w:id="19"/>
      <w:bookmarkEnd w:id="20"/>
    </w:p>
    <w:p w14:paraId="27FC656C">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21" w:name="_Toc15743"/>
      <w:bookmarkStart w:id="22" w:name="_Toc17166"/>
      <w:r>
        <w:rPr>
          <w:rFonts w:hint="eastAsia" w:ascii="黑体" w:hAnsi="黑体" w:eastAsia="黑体" w:cstheme="minorBidi"/>
          <w:b/>
          <w:bCs/>
          <w:kern w:val="2"/>
          <w:sz w:val="24"/>
          <w:szCs w:val="24"/>
          <w:lang w:val="en-US" w:eastAsia="zh-CN" w:bidi="ar-SA"/>
        </w:rPr>
        <w:t>1.平衡论的逻辑架构与实践指向</w:t>
      </w:r>
      <w:bookmarkEnd w:id="21"/>
      <w:bookmarkEnd w:id="22"/>
    </w:p>
    <w:p w14:paraId="39672E91">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平衡论由罗豪才教授等学者于20世纪90年代提出，是我国行政法学界最具影响力的本土理论，其诞生是对管理论、控权论的反思与超越，契合我国市场经济与民主法治建设的双重需求。平衡论的逻辑架构以行政权与公民权的平衡为核心：其一，基本主张，行政机关与相对人的权利义务在总体上应当平衡，既保障行政权有效行使以维护公共利益，又制约行政权以保障个人利益，兼顾国家、公共、个人三方利益；其二，关系认知，摒弃单向的管理或控权思维，以“关系视角”重构行政法律关系，强调双方的双向制约与双向激励；其三，实践指向，区分消极行政与积极行政，对干预行政严格控权，对服务行政适度赋权，综合运用行政命令、行政指导、行政合同等多元手段，实现民主与效率的统一。平衡论的实践价值显著，成为我国行政立法、法治政府建设的重要理论支撑，但也引发争议：部分学者认为“平衡”标准模糊，缺乏可操作性；在新型行政场景下，平衡的尺度与边界难以精准界定。</w:t>
      </w:r>
    </w:p>
    <w:p w14:paraId="D9D277C3">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23" w:name="_Toc2075"/>
      <w:bookmarkStart w:id="24" w:name="_Toc9706"/>
      <w:r>
        <w:rPr>
          <w:rFonts w:hint="eastAsia" w:ascii="黑体" w:hAnsi="黑体" w:eastAsia="黑体" w:cstheme="minorBidi"/>
          <w:b/>
          <w:bCs/>
          <w:kern w:val="2"/>
          <w:sz w:val="24"/>
          <w:szCs w:val="24"/>
          <w:lang w:val="en-US" w:eastAsia="zh-CN" w:bidi="ar-SA"/>
        </w:rPr>
        <w:t>2.服务论的价值立场与体系构想</w:t>
      </w:r>
      <w:bookmarkEnd w:id="23"/>
      <w:bookmarkEnd w:id="24"/>
    </w:p>
    <w:p w14:paraId="3542D606">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服务论以“为人民服务”的根本宗旨为核心，是契合我国国体、政体的行政法理论，形成于20世纪90年代，伴随服务型政府建设逐步完善。服务论的价值立场与体系构想清晰明确：其一，核心宗旨，将“为人民服务”作为行政法的根本价值，认为行政权的本质是服务权，行政机关的核心职责是为公民、社会提供公共服务；其二，关系重构，主张行政主体与相对人是服务与合作的关系，摒弃对立思维，强调公众参与、行政协同；其三，体系构建，以服务为核心统摄行政法制度，完善公共服务、行政给付、行政救助等制度，强化行政机关的服务责任与失职追责机制。服务论彰显了我国行政法的社会主义属性，与以人民为中心的发展思想高度契合，但也存在理论抽象化、制度落地难的问题，需与其他学说融合以增强实践适配性。</w:t>
      </w:r>
    </w:p>
    <w:p w14:paraId="41C18A98">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25" w:name="_Toc25419"/>
      <w:bookmarkStart w:id="26" w:name="_Toc30952"/>
      <w:r>
        <w:rPr>
          <w:rFonts w:hint="eastAsia" w:ascii="黑体" w:hAnsi="宋体" w:eastAsia="黑体" w:cstheme="minorBidi"/>
          <w:b/>
          <w:sz w:val="30"/>
          <w:lang w:val="en-US"/>
        </w:rPr>
        <w:t>（三）学说间的互动与融合趋势</w:t>
      </w:r>
      <w:bookmarkEnd w:id="25"/>
      <w:bookmarkEnd w:id="26"/>
    </w:p>
    <w:p w14:paraId="A9A72AF1">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我国行政法理论基础的诸学说并非完全对立，而是呈现批判借鉴、融合共生的趋势。管理论的行政效率理念、控权论的权力规制理念、平衡论的利益均衡理念、服务论的权利保障理念，逐步从单向对峙走向多元融合。当前学界的主流共识是：单一学说难以适配我国复杂的行政法治实践，需以平衡论为框架，吸纳控权论的权力规制内核、服务论的价值宗旨，构建兼具控权、保权、服务功能的复合型理论基础。这种融合趋势既坚守了现代行政法的法治底线，又契合了我国本土治理需求，为行政法理论基础的确立奠定了思想基础。</w:t>
      </w:r>
    </w:p>
    <w:p w14:paraId="C60A440A">
      <w:pPr>
        <w:snapToGrid/>
        <w:spacing w:before="480" w:beforeAutospacing="0" w:after="480" w:afterAutospacing="0" w:line="240" w:lineRule="auto"/>
        <w:ind w:left="0" w:leftChars="0" w:right="0" w:rightChars="0" w:firstLine="0" w:firstLineChars="0"/>
        <w:jc w:val="left"/>
        <w:outlineLvl w:val="0"/>
        <w:rPr>
          <w:rFonts w:hint="eastAsia" w:ascii="黑体" w:hAnsi="宋体" w:eastAsia="黑体" w:cstheme="minorBidi"/>
          <w:b/>
          <w:sz w:val="36"/>
          <w:lang w:val="en-US"/>
        </w:rPr>
      </w:pPr>
      <w:bookmarkStart w:id="27" w:name="_Toc4447"/>
      <w:bookmarkStart w:id="28" w:name="_Toc13032"/>
      <w:r>
        <w:rPr>
          <w:rFonts w:hint="eastAsia" w:ascii="黑体" w:hAnsi="宋体" w:eastAsia="黑体" w:cstheme="minorBidi"/>
          <w:b/>
          <w:sz w:val="36"/>
          <w:lang w:val="en-US"/>
        </w:rPr>
        <w:t>三、我国行政法理论基础确立的现实条件与制约因素</w:t>
      </w:r>
      <w:bookmarkEnd w:id="27"/>
      <w:bookmarkEnd w:id="28"/>
    </w:p>
    <w:p w14:paraId="88A5DFA0">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29" w:name="_Toc13868"/>
      <w:bookmarkStart w:id="30" w:name="_Toc16918"/>
      <w:r>
        <w:rPr>
          <w:rFonts w:hint="eastAsia" w:ascii="黑体" w:hAnsi="宋体" w:eastAsia="黑体" w:cstheme="minorBidi"/>
          <w:b/>
          <w:sz w:val="30"/>
          <w:lang w:val="en-US"/>
        </w:rPr>
        <w:t>（一）理论确立的实践基础</w:t>
      </w:r>
      <w:bookmarkEnd w:id="29"/>
      <w:bookmarkEnd w:id="30"/>
    </w:p>
    <w:p w14:paraId="A014C6E4">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31" w:name="_Toc12510"/>
      <w:bookmarkStart w:id="32" w:name="_Toc23417"/>
      <w:r>
        <w:rPr>
          <w:rFonts w:hint="eastAsia" w:ascii="黑体" w:hAnsi="黑体" w:eastAsia="黑体" w:cstheme="minorBidi"/>
          <w:b/>
          <w:bCs/>
          <w:kern w:val="2"/>
          <w:sz w:val="24"/>
          <w:szCs w:val="24"/>
          <w:lang w:val="en-US" w:eastAsia="zh-CN" w:bidi="ar-SA"/>
        </w:rPr>
        <w:t>1.行政立法实践的经验积累</w:t>
      </w:r>
      <w:bookmarkEnd w:id="31"/>
      <w:bookmarkEnd w:id="32"/>
    </w:p>
    <w:p w14:paraId="EB1F301D">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我国行政立法的快速发展为理论基础的确立提供了制度支撑。改革开放以来，我国逐步构建起以《宪法》为核心，《行政诉讼法》《行政处罚法》《行政许可法》《行政强制法》《民法典》等为支撑的行政法律体系，覆盖行政组织、行政行为、行政救济全流程。立法实践中形成的核心原则，如职权法定、程序正当、权责统一、信赖保护等，凝练了权力规制与权利保障的双重理念，印证了平衡论、服务论的核心主张；行政立法从“管理导向”向“服务导向”“控权导向”的转型，为理论基础的确立提供了鲜活的实践样本，使理论不再是空中楼阁，而是植根于实定法的实践总结。</w:t>
      </w:r>
    </w:p>
    <w:p w14:paraId="5D333BC9">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33" w:name="_Toc25325"/>
      <w:bookmarkStart w:id="34" w:name="_Toc22589"/>
      <w:r>
        <w:rPr>
          <w:rFonts w:hint="eastAsia" w:ascii="黑体" w:hAnsi="黑体" w:eastAsia="黑体" w:cstheme="minorBidi"/>
          <w:b/>
          <w:bCs/>
          <w:kern w:val="2"/>
          <w:sz w:val="24"/>
          <w:szCs w:val="24"/>
          <w:lang w:val="en-US" w:eastAsia="zh-CN" w:bidi="ar-SA"/>
        </w:rPr>
        <w:t>2.行政司法案例的规则提炼</w:t>
      </w:r>
      <w:bookmarkEnd w:id="33"/>
      <w:bookmarkEnd w:id="34"/>
    </w:p>
    <w:p w14:paraId="7BFA7D4F">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行政司法实践是理论基础确立的重要实践源泉。《行政诉讼法》实施以来，全国法院审理了大量行政案件，通过司法解释、指导性案例提炼出诸多行政法规则：如行政行为合法性审查标准、行政裁量权的合理性约束、行政协议的司法认定、公民知情权、参与权的司法保障等。这些案例规则不断丰富行政法的理论内涵，将抽象的理论主张转化为具体的裁判准则，验证了行政法理论基础的实践可行性；最高人民法院发布的行政指导性案例，更将实践经验上升为通用规则，实现了“实践—理论—实践”的循环升华，为理论基础的确立提供了司法实践支撑。</w:t>
      </w:r>
    </w:p>
    <w:p w14:paraId="3184A117">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35" w:name="_Toc3579"/>
      <w:bookmarkStart w:id="36" w:name="_Toc28186"/>
      <w:r>
        <w:rPr>
          <w:rFonts w:hint="eastAsia" w:ascii="黑体" w:hAnsi="宋体" w:eastAsia="黑体" w:cstheme="minorBidi"/>
          <w:b/>
          <w:sz w:val="30"/>
          <w:lang w:val="en-US"/>
        </w:rPr>
        <w:t>（二）理论确立的文化与制度环境</w:t>
      </w:r>
      <w:bookmarkEnd w:id="35"/>
      <w:bookmarkEnd w:id="36"/>
    </w:p>
    <w:p w14:paraId="EBE5789E">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37" w:name="_Toc4617"/>
      <w:bookmarkStart w:id="38" w:name="_Toc4920"/>
      <w:r>
        <w:rPr>
          <w:rFonts w:hint="eastAsia" w:ascii="黑体" w:hAnsi="黑体" w:eastAsia="黑体" w:cstheme="minorBidi"/>
          <w:b/>
          <w:bCs/>
          <w:kern w:val="2"/>
          <w:sz w:val="24"/>
          <w:szCs w:val="24"/>
          <w:lang w:val="en-US" w:eastAsia="zh-CN" w:bidi="ar-SA"/>
        </w:rPr>
        <w:t>1.法治文化对理论选择的影响</w:t>
      </w:r>
      <w:bookmarkEnd w:id="37"/>
      <w:bookmarkEnd w:id="38"/>
    </w:p>
    <w:p w14:paraId="9A6120B7">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我国法治文化兼具传统治理智慧与现代法治精神，从深层价值层面深刻影响着行政法理论基础的选择。传统法律文化中“民为邦本”“为政以德”“以民为本”的民本思想，强调治理应当顺应民心、保障民生，与我国行政法服务论的价值宗旨高度契合；而“礼法合治”“德主刑辅”以及权责相应、赏罚分明的治理理念，既重视制度约束又强调道德引领，又为平衡论兼顾秩序与权利、效率与公正提供了重要文化滋养。进入现代法治阶段，权利保障、权力制约、程序正义、依法行政等理念日益深入人心，共同构成行政法理论基础的核心价值遵循。随着全民法治素养不断提升、法治政府建设纵深推进，全社会尊重权利、规范权力、崇尚公正的氛围日益浓厚，为我国最终确立以平衡、服务、控权相统一的行政法理论基础提供了坚实、稳定的文化支撑。</w:t>
      </w:r>
    </w:p>
    <w:p w14:paraId="62D76897">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39" w:name="_Toc23401"/>
      <w:bookmarkStart w:id="40" w:name="_Toc3632"/>
      <w:r>
        <w:rPr>
          <w:rFonts w:hint="eastAsia" w:ascii="黑体" w:hAnsi="黑体" w:eastAsia="黑体" w:cstheme="minorBidi"/>
          <w:b/>
          <w:bCs/>
          <w:kern w:val="2"/>
          <w:sz w:val="24"/>
          <w:szCs w:val="24"/>
          <w:lang w:val="en-US" w:eastAsia="zh-CN" w:bidi="ar-SA"/>
        </w:rPr>
        <w:t>2.政治体制与理论适配性特征</w:t>
      </w:r>
      <w:bookmarkEnd w:id="39"/>
      <w:bookmarkEnd w:id="40"/>
    </w:p>
    <w:p w14:paraId="A4BBE499">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我国实行人民代表大会制度下的民主集中制，这一政治体制决定了行政法理论基础必须适配“党的领导、人民当家作主、依法治国有机统一”的根本原则。一方面，行政权由人大产生、对人大负责、受人大监督，决定了理论基础必须坚持权力规制与民主监督；另一方面，集中统一的体制要求行政权高效运行，履行经济调节、市场监管、社会管理、公共服务等职能，决定了理论基础不能片面控权，需兼顾效率与公平、管理与服务。这种政治体制特质，决定了我国行政法理论基础既不能照搬管理论，也不能全盘采用西方控权论，必须走本土融合的发展道路，为平衡论、服务论的主导地位提供了制度保障。</w:t>
      </w:r>
    </w:p>
    <w:p w14:paraId="7A28D182">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41" w:name="_Toc3869"/>
      <w:bookmarkStart w:id="42" w:name="_Toc17155"/>
      <w:r>
        <w:rPr>
          <w:rFonts w:hint="eastAsia" w:ascii="黑体" w:hAnsi="宋体" w:eastAsia="黑体" w:cstheme="minorBidi"/>
          <w:b/>
          <w:sz w:val="30"/>
          <w:lang w:val="en-US"/>
        </w:rPr>
        <w:t>（三）理论确立的主要制约</w:t>
      </w:r>
      <w:bookmarkEnd w:id="41"/>
      <w:bookmarkEnd w:id="42"/>
    </w:p>
    <w:p w14:paraId="2EF3A24A">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43" w:name="_Toc21303"/>
      <w:bookmarkStart w:id="44" w:name="_Toc17736"/>
      <w:r>
        <w:rPr>
          <w:rFonts w:hint="eastAsia" w:ascii="黑体" w:hAnsi="黑体" w:eastAsia="黑体" w:cstheme="minorBidi"/>
          <w:b/>
          <w:bCs/>
          <w:kern w:val="2"/>
          <w:sz w:val="24"/>
          <w:szCs w:val="24"/>
          <w:lang w:val="en-US" w:eastAsia="zh-CN" w:bidi="ar-SA"/>
        </w:rPr>
        <w:t>1.新型行政行为的理论解释困境</w:t>
      </w:r>
      <w:bookmarkEnd w:id="43"/>
      <w:bookmarkEnd w:id="44"/>
    </w:p>
    <w:p w14:paraId="246BF002">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随着数字治理、风险治理、协同治理等新型治理模式快速发展，大数据行政决策、算法行政、区域协同执法、柔性行政指导、行政协议等新型行政行为大量涌现，对传统行政法理论体系提出了全方位挑战。传统行政法理论长期以单方、强制、刚性行政行为为核心研究对象，难以有效回应多元、柔性、合作性的新型行政形态；行政权数字化、网络化、跨域化运行，进一步导致权力边界模糊、责任主体多元、救济渠道不畅等问题，现有理论难以提供精准、统一的解释框架与规制路径，成为我国行政法理论基础确立与体系完善的重要现实制约。</w:t>
      </w:r>
    </w:p>
    <w:p w14:paraId="5D43BB77">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45" w:name="_Toc32060"/>
      <w:bookmarkStart w:id="46" w:name="_Toc26226"/>
      <w:r>
        <w:rPr>
          <w:rFonts w:hint="eastAsia" w:ascii="黑体" w:hAnsi="黑体" w:eastAsia="黑体" w:cstheme="minorBidi"/>
          <w:b/>
          <w:bCs/>
          <w:kern w:val="2"/>
          <w:sz w:val="24"/>
          <w:szCs w:val="24"/>
          <w:lang w:val="en-US" w:eastAsia="zh-CN" w:bidi="ar-SA"/>
        </w:rPr>
        <w:t>2.区域行政法治差异的整合难度</w:t>
      </w:r>
      <w:bookmarkEnd w:id="45"/>
      <w:bookmarkEnd w:id="46"/>
    </w:p>
    <w:p w14:paraId="86C62BA0">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我国地域辽阔，区域经济社会发展不平衡，导致行政法治实践存在明显差异：东部地区法治政府建设水平较高，服务行政、柔性行政实践丰富；中西部地区仍以传统管理行政为主，权力规制、权利保障水平有待提升。这种区域差异使得行政法理论基础的普适性面临挑战，统一的理论难以完全适配不同区域的实践需求；区域协同行政中，地方行政规范冲突、执法标准不一等问题，也增加了理论整合与制度统一的难度。此外，行政法学研究的碎片化、部门化倾向，理论与实践的脱节，部分学者对本土理论的忽视等，也制约着行政法理论基础的统一确立。</w:t>
      </w:r>
    </w:p>
    <w:p w14:paraId="25E2A3BB">
      <w:pPr>
        <w:snapToGrid/>
        <w:spacing w:before="480" w:beforeAutospacing="0" w:after="480" w:afterAutospacing="0" w:line="240" w:lineRule="auto"/>
        <w:ind w:left="0" w:leftChars="0" w:right="0" w:rightChars="0" w:firstLine="0" w:firstLineChars="0"/>
        <w:jc w:val="left"/>
        <w:outlineLvl w:val="0"/>
        <w:rPr>
          <w:rFonts w:hint="eastAsia" w:ascii="黑体" w:hAnsi="宋体" w:eastAsia="黑体" w:cstheme="minorBidi"/>
          <w:b/>
          <w:sz w:val="36"/>
          <w:lang w:val="en-US"/>
        </w:rPr>
      </w:pPr>
      <w:bookmarkStart w:id="47" w:name="_Toc8290"/>
      <w:bookmarkStart w:id="48" w:name="_Toc14736"/>
      <w:r>
        <w:rPr>
          <w:rFonts w:hint="eastAsia" w:ascii="黑体" w:hAnsi="宋体" w:eastAsia="黑体" w:cstheme="minorBidi"/>
          <w:b/>
          <w:sz w:val="36"/>
          <w:lang w:val="en-US"/>
        </w:rPr>
        <w:t>四、我国行政法理论基础确立的核心要素与整合路径</w:t>
      </w:r>
      <w:bookmarkEnd w:id="47"/>
      <w:bookmarkEnd w:id="48"/>
    </w:p>
    <w:p w14:paraId="430FD765">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49" w:name="_Toc1725"/>
      <w:bookmarkStart w:id="50" w:name="_Toc8639"/>
      <w:r>
        <w:rPr>
          <w:rFonts w:hint="eastAsia" w:ascii="黑体" w:hAnsi="宋体" w:eastAsia="黑体" w:cstheme="minorBidi"/>
          <w:b/>
          <w:sz w:val="30"/>
          <w:lang w:val="en-US"/>
        </w:rPr>
        <w:t>（一）理论基础的价值内核构建</w:t>
      </w:r>
      <w:bookmarkEnd w:id="49"/>
      <w:bookmarkEnd w:id="50"/>
    </w:p>
    <w:p w14:paraId="06C9E8A4">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51" w:name="_Toc2548"/>
      <w:bookmarkStart w:id="52" w:name="_Toc29676"/>
      <w:r>
        <w:rPr>
          <w:rFonts w:hint="eastAsia" w:ascii="黑体" w:hAnsi="黑体" w:eastAsia="黑体" w:cstheme="minorBidi"/>
          <w:b/>
          <w:bCs/>
          <w:kern w:val="2"/>
          <w:sz w:val="24"/>
          <w:szCs w:val="24"/>
          <w:lang w:val="en-US" w:eastAsia="zh-CN" w:bidi="ar-SA"/>
        </w:rPr>
        <w:t>1.权利保障与权力规制的平衡</w:t>
      </w:r>
      <w:bookmarkEnd w:id="51"/>
      <w:bookmarkEnd w:id="52"/>
    </w:p>
    <w:p w14:paraId="25717D7A">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权利保障与权力规制是现代行政法的核心价值，也是我国行政法理论基础的价值内核。行政权作为国家权力中最活跃、最直接面向公民、法人和其他组织的公权力，具有广泛性、裁量性与强制性，必须以“法无授权即禁止”为基本准则，通过职权法定、程序正当、监督制约与责任追究实现有效规制，严防权力扩张、滥用与失职。同时，行政权承担着市场监管、社会治理、公共服务、风险防范等重要法定职责，又必须保障其依法高效运行，以维护公共利益、社会秩序与长远发展。二者的平衡绝非简单折中或妥协，而是以权利保障为终极目标、以权力规制为实现路径的有机统一：权力规制的根本目的是保障权利，权利保障的可靠前提是规范权力。这一价值内核深度融合了控权论的权力规制理念、平衡论的利益均衡理念与服务论的权利保障宗旨，既符合现代法治的普遍精神，又立足我国国情与治理现实，为中国特色行政法体系提供了稳定、统一、可持续的价值遵循。</w:t>
      </w:r>
    </w:p>
    <w:p w14:paraId="F6D3E576">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53" w:name="_Toc11369"/>
      <w:bookmarkStart w:id="54" w:name="_Toc29095"/>
      <w:r>
        <w:rPr>
          <w:rFonts w:hint="eastAsia" w:ascii="黑体" w:hAnsi="黑体" w:eastAsia="黑体" w:cstheme="minorBidi"/>
          <w:b/>
          <w:bCs/>
          <w:kern w:val="2"/>
          <w:sz w:val="24"/>
          <w:szCs w:val="24"/>
          <w:lang w:val="en-US" w:eastAsia="zh-CN" w:bidi="ar-SA"/>
        </w:rPr>
        <w:t>2.效率与公平的价值协调</w:t>
      </w:r>
      <w:bookmarkEnd w:id="53"/>
      <w:bookmarkEnd w:id="54"/>
    </w:p>
    <w:p w14:paraId="B5378C0F">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效率与公平是行政法理论基础中不可或缺的重要价值维度。行政效率是行政权运行的基本追求，直接关系到公共服务供给水平、社会治理整体效能与公共利益的有效实现；行政公平则是现代法治的核心要义，涵盖程序公平、实体公平、权利公平等多重内涵，直接关乎公民、法人和其他组织的合法权益维护与社会正义实现。在理论构建与实践运行中，必须实现二者的有机统一与内在协调：公平是效率的正当前提，脱离公平的效率只会沦为无序甚至侵害权利的效率；效率是公平的现实保障，缺乏效率的公平往往难以落地，最终成为空洞的公平。针对不同行政场景应采取差异化平衡策略：干预行政侧重公平，严格规制行政权力；服务行政侧重效率，持续优化行政流程；给付行政兼顾公平与效率，着力推进公共服务均等化。这种兼顾整体、分类平衡的价值协调模式，高度适配我国国家治理现代化的现实需求，有效避免了单一价值偏向带来的理论局限与实践困境。</w:t>
      </w:r>
    </w:p>
    <w:p w14:paraId="1CDFA540">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55" w:name="_Toc5097"/>
      <w:bookmarkStart w:id="56" w:name="_Toc7777"/>
      <w:r>
        <w:rPr>
          <w:rFonts w:hint="eastAsia" w:ascii="黑体" w:hAnsi="宋体" w:eastAsia="黑体" w:cstheme="minorBidi"/>
          <w:b/>
          <w:sz w:val="30"/>
          <w:lang w:val="en-US"/>
        </w:rPr>
        <w:t>（二）理论体系的框架设计</w:t>
      </w:r>
      <w:bookmarkEnd w:id="55"/>
      <w:bookmarkEnd w:id="56"/>
    </w:p>
    <w:p w14:paraId="8C4CBAA0">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57" w:name="_Toc14141"/>
      <w:bookmarkStart w:id="58" w:name="_Toc24156"/>
      <w:r>
        <w:rPr>
          <w:rFonts w:hint="eastAsia" w:ascii="黑体" w:hAnsi="黑体" w:eastAsia="黑体" w:cstheme="minorBidi"/>
          <w:b/>
          <w:bCs/>
          <w:kern w:val="2"/>
          <w:sz w:val="24"/>
          <w:szCs w:val="24"/>
          <w:lang w:val="en-US" w:eastAsia="zh-CN" w:bidi="ar-SA"/>
        </w:rPr>
        <w:t>1.核心范畴的明确界定</w:t>
      </w:r>
      <w:bookmarkEnd w:id="57"/>
      <w:bookmarkEnd w:id="58"/>
    </w:p>
    <w:p w14:paraId="2E6FA399">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核心范畴是行政法理论体系得以成立的基本单元与逻辑支点，必须以科学的行政法理论基础为指引，系统界定并统一三大核心范畴。其一，行政权，清晰界定其性质、边界与功能，明确行政权既是规制权也是服务权，坚持职权法定、程序正当、运行高效、权责统一的基本准则。其二，行政相对人权利，明确公民、法人及其他组织依法享有行政参与权、知情权、陈述申辩权、监督权与救济权等，确立其独立的权利主体地位，构建系统完整的权利保障与权利实现体系。其三，行政法律关系，从根本上重构行政主体与行政相对人之间的法律关系，突出服务、合作与双向制约，摒弃传统单向命令服从或简单对立的思维模式，确立平等互动、权责对应、信赖保护的新型关系本质。对这三大核心范畴的科学界定，能够为整个行政法理论体系搭建起稳定、清晰、自洽的基本框架，确保理论内部逻辑严密、范畴统一、论证严谨，为学科体系化发展奠定坚实基础。</w:t>
      </w:r>
    </w:p>
    <w:p w14:paraId="4F20DB95">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59" w:name="_Toc11382"/>
      <w:bookmarkStart w:id="60" w:name="_Toc25636"/>
      <w:r>
        <w:rPr>
          <w:rFonts w:hint="eastAsia" w:ascii="黑体" w:hAnsi="黑体" w:eastAsia="黑体" w:cstheme="minorBidi"/>
          <w:b/>
          <w:bCs/>
          <w:kern w:val="2"/>
          <w:sz w:val="24"/>
          <w:szCs w:val="24"/>
          <w:lang w:val="en-US" w:eastAsia="zh-CN" w:bidi="ar-SA"/>
        </w:rPr>
        <w:t>2.逻辑层次的有序构建</w:t>
      </w:r>
      <w:bookmarkEnd w:id="59"/>
      <w:bookmarkEnd w:id="60"/>
    </w:p>
    <w:p w14:paraId="FC36F188">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以价值内核为引领，构建价值层—原则层—制度层三位一体、层层递进的行政法理论体系。价值层居于核心，以权利保障、权力规制、效率公平、服务为民作为根本价值，确立理论的灵魂与方向；原则层作为中介纽带，将抽象价值转化为依法行政、程序正当、权责统一、信赖保护、比例原则等基本原则，用以统领全部行政法规范与实践活动；制度层则作为现实载体，把基本原则具体落实到行政组织、行政行为、行政程序、行政救济、行政责任等一系列制度设计之中。这种逻辑结构从抽象到具体、从理论到实践，层次清晰、逻辑自洽、衔接紧密，有效破解了传统理论研究中存在的碎片化、抽象化、与实践脱节等问题，使整个理论体系更具解释力、指导性与可操作性，为我国行政法理论基础的确立提供了稳定、系统、可持续的框架支撑。</w:t>
      </w:r>
    </w:p>
    <w:p w14:paraId="523CE386">
      <w:pPr>
        <w:snapToGrid/>
        <w:spacing w:before="360" w:beforeAutospacing="0" w:after="360" w:afterAutospacing="0" w:line="240" w:lineRule="auto"/>
        <w:ind w:left="0" w:leftChars="0" w:right="0" w:rightChars="0" w:firstLine="0" w:firstLineChars="0"/>
        <w:jc w:val="left"/>
        <w:outlineLvl w:val="1"/>
        <w:rPr>
          <w:rFonts w:hint="eastAsia" w:ascii="黑体" w:hAnsi="宋体" w:eastAsia="黑体" w:cstheme="minorBidi"/>
          <w:b/>
          <w:sz w:val="30"/>
          <w:lang w:val="en-US"/>
        </w:rPr>
      </w:pPr>
      <w:bookmarkStart w:id="61" w:name="_Toc10524"/>
      <w:bookmarkStart w:id="62" w:name="_Toc30999"/>
      <w:r>
        <w:rPr>
          <w:rFonts w:hint="eastAsia" w:ascii="黑体" w:hAnsi="宋体" w:eastAsia="黑体" w:cstheme="minorBidi"/>
          <w:b/>
          <w:sz w:val="30"/>
          <w:lang w:val="en-US"/>
        </w:rPr>
        <w:t>（三）理论与实践的衔接机制</w:t>
      </w:r>
      <w:bookmarkEnd w:id="61"/>
      <w:bookmarkEnd w:id="62"/>
    </w:p>
    <w:p w14:paraId="AD7A49A7">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63" w:name="_Toc28782"/>
      <w:bookmarkStart w:id="64" w:name="_Toc8461"/>
      <w:r>
        <w:rPr>
          <w:rFonts w:hint="eastAsia" w:ascii="黑体" w:hAnsi="黑体" w:eastAsia="黑体" w:cstheme="minorBidi"/>
          <w:b/>
          <w:bCs/>
          <w:kern w:val="2"/>
          <w:sz w:val="24"/>
          <w:szCs w:val="24"/>
          <w:lang w:val="en-US" w:eastAsia="zh-CN" w:bidi="ar-SA"/>
        </w:rPr>
        <w:t>1.立法环节的理论转化路径</w:t>
      </w:r>
      <w:bookmarkEnd w:id="63"/>
      <w:bookmarkEnd w:id="64"/>
    </w:p>
    <w:p w14:paraId="B9B034A2">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将行政法理论基础转化为具体、可操作的立法规范，是理论落地生根、指导实践的关键环节。在我国行政立法进程中，应当以确立后的行政法理论基础为根本指引，系统完善三大核心立法板块：一是行政组织立法，通过清晰划定行政机关职权清单、责任清单，全面落实权责统一原则，科学规范行政权的配置、运行与监督，从源头上实现控权与保权的统一；二是行政行为立法，加快推进《行政程序法》立法进程，统一行政程序基本规则，强化对柔性行政、数字行政、算法行政、区域协同行政等新型行政形态的法律规制，实现行政行为全过程规范化；三是行政救济立法，进一步完善行政复议、行政诉讼、国家赔偿与行政补偿制度，拓宽权利救济渠道，降低救济成本，提升救济实效，筑牢权利保障的最后防线。通过系统化立法将抽象理论主张转化为刚性法律规范，真正实现行政法理论与立法实践的深度融合，为全面推进依法行政、建设法治政府提供坚实、明确、权威的制度依据。</w:t>
      </w:r>
    </w:p>
    <w:p w14:paraId="B8B09536">
      <w:pPr>
        <w:pStyle w:val="3"/>
        <w:numPr>
          <w:ilvl w:val="0"/>
          <w:numId w:val="0"/>
        </w:numPr>
        <w:spacing w:before="240" w:after="240" w:line="240" w:lineRule="auto"/>
        <w:ind w:left="363" w:leftChars="0" w:hanging="363" w:firstLineChars="0"/>
        <w:rPr>
          <w:rFonts w:hint="eastAsia" w:ascii="黑体" w:hAnsi="黑体" w:eastAsia="黑体" w:cstheme="minorBidi"/>
          <w:b/>
          <w:bCs/>
          <w:kern w:val="2"/>
          <w:sz w:val="24"/>
          <w:szCs w:val="24"/>
          <w:lang w:val="en-US" w:eastAsia="zh-CN" w:bidi="ar-SA"/>
        </w:rPr>
      </w:pPr>
      <w:bookmarkStart w:id="65" w:name="_Toc11293"/>
      <w:bookmarkStart w:id="66" w:name="_Toc10154"/>
      <w:r>
        <w:rPr>
          <w:rFonts w:hint="eastAsia" w:ascii="黑体" w:hAnsi="黑体" w:eastAsia="黑体" w:cstheme="minorBidi"/>
          <w:b/>
          <w:bCs/>
          <w:kern w:val="2"/>
          <w:sz w:val="24"/>
          <w:szCs w:val="24"/>
          <w:lang w:val="en-US" w:eastAsia="zh-CN" w:bidi="ar-SA"/>
        </w:rPr>
        <w:t>2.执法与司法中的理论应用方式</w:t>
      </w:r>
      <w:bookmarkEnd w:id="65"/>
      <w:bookmarkEnd w:id="66"/>
    </w:p>
    <w:p w14:paraId="891DAA9B">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在行政执法环节，以行政法理论基础为根本指引，牢固树立服务型执法、规范化执法的现代理念：全面推行柔性执法、说理式执法、审慎执法，在维护执法秩序的同时充分平衡执法效率与公民权利保障；严格落实行政裁量基准制度，细化裁量标准、规范裁量空间，确保行政裁量权依法、公正、合理行使；持续强化执法全过程公开与常态化公众参与，充分践行行政服务与政民合作的核心理念，推动执法模式从刚性管控向多元共治转型。在行政司法领域，以行政法理论基础作为裁判指引，始终以权利保障与权力规制为核心，严格审查行政行为的合法性与合理性；通过出台司法解释、发布指导性案例等方式，将抽象理论转化为具体可操作的裁判规则；面对数字行政、区域协同行政等新型行政案件，主动运用理论基础回应实践难题、填补法律漏洞，实现个案正义与法治统一。与此同时，建立健全理论与实践双向互动的反馈机制，依托行政执法与行政司法的鲜活实践检验理论、丰富理论、完善理论，最终形成理论指导实践、实践反哺理论的良性循环与长效发展格局。</w:t>
      </w:r>
    </w:p>
    <w:p w14:paraId="8713FBD1">
      <w:pPr>
        <w:snapToGrid/>
        <w:spacing w:before="480" w:beforeAutospacing="0" w:after="480" w:afterAutospacing="0" w:line="240" w:lineRule="auto"/>
        <w:ind w:left="0" w:leftChars="0" w:right="0" w:rightChars="0" w:firstLine="0" w:firstLineChars="0"/>
        <w:jc w:val="left"/>
        <w:outlineLvl w:val="0"/>
        <w:rPr>
          <w:rFonts w:hint="eastAsia" w:ascii="黑体" w:hAnsi="宋体" w:eastAsia="黑体" w:cstheme="minorBidi"/>
          <w:b/>
          <w:sz w:val="36"/>
          <w:lang w:val="en-US"/>
        </w:rPr>
      </w:pPr>
      <w:bookmarkStart w:id="67" w:name="_Toc10191"/>
      <w:bookmarkStart w:id="68" w:name="_Toc16261"/>
      <w:r>
        <w:rPr>
          <w:rFonts w:hint="eastAsia" w:ascii="黑体" w:hAnsi="宋体" w:eastAsia="黑体" w:cstheme="minorBidi"/>
          <w:b/>
          <w:sz w:val="36"/>
          <w:lang w:val="en-US"/>
        </w:rPr>
        <w:t>五、结论</w:t>
      </w:r>
      <w:bookmarkEnd w:id="67"/>
      <w:bookmarkEnd w:id="68"/>
    </w:p>
    <w:p w14:paraId="28F32B42">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pPr>
      <w:r>
        <w:rPr>
          <w:rFonts w:hint="eastAsia" w:ascii="宋体" w:hAnsi="宋体" w:eastAsia="宋体" w:cstheme="minorBidi"/>
          <w:sz w:val="24"/>
          <w:lang w:val="en-US"/>
        </w:rPr>
        <w:t>行政法理论基础的确立是中国特色行政法学体系建设的核心命题，关乎行政法治的发展方向与实践成效。我国行政法理论基础研究历经管理论、控权论的单向探索，走向平衡论、服务论的融合发展，逐步形成契合本土国情、兼具现代法治精神的理论脉络。当前，我国行政立法、司法的实践积累，法治文化与政治体制的支撑，为理论基础的确立提供了现实条件；而新型行政行为的挑战、区域法治差异的制约，仍需通过理论整合与实践创新予以破解。我国行政法理论基础的确立，需以权利保障与权力规制的平衡、效率与公平的协调为价值内核，构建价值层、原则层、制度层有机统一的理论体系，通过立法转化、执法适用、司法指引实现理论与实践的深度衔接。最终确立的理论基础，既坚守现代行政法的法治底线，又彰显中国特色社会主义的本质属性；既回应传统行政法治的核心问题，又适配国家治理现代化的时代需求，为法治政府建设、行政法学自主知识体系构建提供坚实的理论支撑，推动我国行政法治迈向更高水平。</w:t>
      </w:r>
    </w:p>
    <w:p w14:paraId="703E2651">
      <w:pPr>
        <w:snapToGrid/>
        <w:spacing w:beforeAutospacing="0" w:afterAutospacing="0" w:line="360" w:lineRule="auto"/>
        <w:ind w:left="0" w:leftChars="0" w:right="0" w:rightChars="0" w:firstLine="480" w:firstLineChars="200"/>
        <w:jc w:val="both"/>
        <w:rPr>
          <w:rFonts w:hint="eastAsia" w:ascii="宋体" w:hAnsi="宋体" w:eastAsia="宋体" w:cstheme="minorBidi"/>
          <w:sz w:val="24"/>
          <w:lang w:val="en-US"/>
        </w:rPr>
        <w:sectPr>
          <w:pgSz w:w="11906" w:h="16838"/>
          <w:pgMar w:top="1440" w:right="1800" w:bottom="1440" w:left="1800" w:header="851" w:footer="992" w:gutter="0"/>
          <w:cols w:space="425" w:num="1"/>
          <w:docGrid w:type="lines" w:linePitch="312" w:charSpace="0"/>
        </w:sectPr>
      </w:pPr>
    </w:p>
    <w:p w14:paraId="5CE9F625">
      <w:pPr>
        <w:pStyle w:val="2"/>
        <w:pageBreakBefore/>
        <w:spacing w:before="480" w:after="480" w:line="240" w:lineRule="auto"/>
        <w:jc w:val="center"/>
        <w:rPr>
          <w:rFonts w:hint="eastAsia" w:ascii="黑体" w:hAnsi="黑体" w:eastAsia="黑体" w:cstheme="minorBidi"/>
          <w:sz w:val="36"/>
          <w:szCs w:val="36"/>
          <w:lang w:val="en-US"/>
        </w:rPr>
      </w:pPr>
      <w:bookmarkStart w:id="69" w:name="_Toc15719"/>
      <w:bookmarkStart w:id="70" w:name="_Toc16211"/>
      <w:r>
        <w:rPr>
          <w:rFonts w:hint="eastAsia" w:ascii="黑体" w:hAnsi="黑体" w:eastAsia="黑体" w:cstheme="minorBidi"/>
          <w:sz w:val="36"/>
          <w:szCs w:val="36"/>
          <w:lang w:val="en-US"/>
        </w:rPr>
        <w:t>参考文献：</w:t>
      </w:r>
      <w:bookmarkEnd w:id="69"/>
      <w:bookmarkEnd w:id="70"/>
    </w:p>
    <w:p w14:paraId="F749A384">
      <w:pPr>
        <w:snapToGrid/>
        <w:spacing w:beforeAutospacing="0" w:afterAutospacing="0" w:line="360" w:lineRule="auto"/>
        <w:ind w:left="0" w:leftChars="0" w:right="0" w:rightChars="0" w:firstLine="0" w:firstLineChars="0"/>
        <w:jc w:val="both"/>
        <w:rPr>
          <w:rFonts w:hint="eastAsia" w:ascii="宋体" w:hAnsi="宋体" w:eastAsia="宋体" w:cstheme="minorBidi"/>
          <w:sz w:val="24"/>
          <w:lang w:val="en-US"/>
        </w:rPr>
      </w:pPr>
      <w:r>
        <w:rPr>
          <w:rFonts w:hint="eastAsia" w:ascii="宋体" w:hAnsi="宋体" w:eastAsia="宋体" w:cstheme="minorBidi"/>
          <w:sz w:val="24"/>
          <w:lang w:val="en-US"/>
        </w:rPr>
        <w:t>[1]黄锴.我国行政法学变迁的“第三条道路”——评沈岿教授《行政法理论基础：传统与革新》[J].公法研究,2025,24(01):466-479.</w:t>
      </w:r>
    </w:p>
    <w:p w14:paraId="ADD8BAD6">
      <w:pPr>
        <w:snapToGrid/>
        <w:spacing w:beforeAutospacing="0" w:afterAutospacing="0" w:line="360" w:lineRule="auto"/>
        <w:ind w:left="0" w:leftChars="0" w:right="0" w:rightChars="0" w:firstLine="0" w:firstLineChars="0"/>
        <w:jc w:val="both"/>
        <w:rPr>
          <w:rFonts w:hint="eastAsia" w:ascii="宋体" w:hAnsi="宋体" w:eastAsia="宋体" w:cstheme="minorBidi"/>
          <w:sz w:val="24"/>
          <w:lang w:val="en-US"/>
        </w:rPr>
      </w:pPr>
      <w:r>
        <w:rPr>
          <w:rFonts w:hint="eastAsia" w:ascii="宋体" w:hAnsi="宋体" w:eastAsia="宋体" w:cstheme="minorBidi"/>
          <w:sz w:val="24"/>
          <w:lang w:val="en-US"/>
        </w:rPr>
        <w:t>[2]姬展,王瑞雪.行政法理论基础：溯源及其超越——评《行政法理论基础——传统与革新》[J].公法研究,2025,24(01):480-500.</w:t>
      </w:r>
    </w:p>
    <w:p w14:paraId="B2AA9216">
      <w:pPr>
        <w:snapToGrid/>
        <w:spacing w:beforeAutospacing="0" w:afterAutospacing="0" w:line="360" w:lineRule="auto"/>
        <w:ind w:left="0" w:leftChars="0" w:right="0" w:rightChars="0" w:firstLine="0" w:firstLineChars="0"/>
        <w:jc w:val="both"/>
        <w:rPr>
          <w:rFonts w:hint="eastAsia" w:ascii="宋体" w:hAnsi="宋体" w:eastAsia="宋体" w:cstheme="minorBidi"/>
          <w:sz w:val="24"/>
          <w:lang w:val="en-US"/>
        </w:rPr>
      </w:pPr>
      <w:r>
        <w:rPr>
          <w:rFonts w:hint="eastAsia" w:ascii="宋体" w:hAnsi="宋体" w:eastAsia="宋体" w:cstheme="minorBidi"/>
          <w:sz w:val="24"/>
          <w:lang w:val="en-US"/>
        </w:rPr>
        <w:t>[3]刘运翰.互联网平台协同治理的行政法制度建构研究[D].广西大学,2025.</w:t>
      </w:r>
    </w:p>
    <w:p w14:paraId="87172948">
      <w:pPr>
        <w:snapToGrid/>
        <w:spacing w:beforeAutospacing="0" w:afterAutospacing="0" w:line="360" w:lineRule="auto"/>
        <w:ind w:left="0" w:leftChars="0" w:right="0" w:rightChars="0" w:firstLine="0" w:firstLineChars="0"/>
        <w:jc w:val="both"/>
        <w:rPr>
          <w:rFonts w:hint="eastAsia" w:ascii="宋体" w:hAnsi="宋体" w:eastAsia="宋体" w:cstheme="minorBidi"/>
          <w:sz w:val="24"/>
          <w:lang w:val="en-US"/>
        </w:rPr>
      </w:pPr>
      <w:r>
        <w:rPr>
          <w:rFonts w:hint="eastAsia" w:ascii="宋体" w:hAnsi="宋体" w:eastAsia="宋体" w:cstheme="minorBidi"/>
          <w:sz w:val="24"/>
          <w:lang w:val="en-US"/>
        </w:rPr>
        <w:t>[4]薛刚凌,杨璇.非政府公共组织的行政法规制[J].荆楚法学,2024,(06):68-81.</w:t>
      </w:r>
    </w:p>
    <w:p w14:paraId="D642EA48">
      <w:pPr>
        <w:snapToGrid/>
        <w:spacing w:beforeAutospacing="0" w:afterAutospacing="0" w:line="360" w:lineRule="auto"/>
        <w:ind w:left="0" w:leftChars="0" w:right="0" w:rightChars="0" w:firstLine="0" w:firstLineChars="0"/>
        <w:jc w:val="both"/>
        <w:rPr>
          <w:rFonts w:hint="eastAsia" w:ascii="宋体" w:hAnsi="宋体" w:eastAsia="宋体" w:cstheme="minorBidi"/>
          <w:sz w:val="24"/>
          <w:lang w:val="en-US"/>
        </w:rPr>
      </w:pPr>
      <w:r>
        <w:rPr>
          <w:rFonts w:hint="eastAsia" w:ascii="宋体" w:hAnsi="宋体" w:eastAsia="宋体" w:cstheme="minorBidi"/>
          <w:sz w:val="24"/>
          <w:lang w:val="en-US"/>
        </w:rPr>
        <w:t>[5]姚世玉.基于全球行政法理论的跨境电商国际规则形成问题研究[D].河北农业大学,2024.</w:t>
      </w:r>
    </w:p>
    <w:p w14:paraId="6B5E2442">
      <w:pPr>
        <w:snapToGrid/>
        <w:spacing w:beforeAutospacing="0" w:afterAutospacing="0" w:line="360" w:lineRule="auto"/>
        <w:ind w:left="0" w:leftChars="0" w:right="0" w:rightChars="0" w:firstLine="0" w:firstLineChars="0"/>
        <w:jc w:val="both"/>
        <w:rPr>
          <w:rFonts w:hint="eastAsia" w:ascii="宋体" w:hAnsi="宋体" w:eastAsia="宋体" w:cstheme="minorBidi"/>
          <w:sz w:val="24"/>
          <w:lang w:val="en-US"/>
        </w:rPr>
      </w:pPr>
      <w:r>
        <w:rPr>
          <w:rFonts w:hint="eastAsia" w:ascii="宋体" w:hAnsi="宋体" w:eastAsia="宋体" w:cstheme="minorBidi"/>
          <w:sz w:val="24"/>
          <w:lang w:val="en-US"/>
        </w:rPr>
        <w:t>[6]刘力.民法思维下政府采购法的现实困境与出路——以新行政法理论的视角[J].湖南师范大学社会科学学报,2024,53(01):138-149.</w:t>
      </w:r>
    </w:p>
    <w:p w14:paraId="48104F04">
      <w:pPr>
        <w:snapToGrid/>
        <w:spacing w:beforeAutospacing="0" w:afterAutospacing="0" w:line="360" w:lineRule="auto"/>
        <w:ind w:left="0" w:leftChars="0" w:right="0" w:rightChars="0" w:firstLine="0" w:firstLineChars="0"/>
        <w:jc w:val="both"/>
        <w:rPr>
          <w:rFonts w:hint="eastAsia" w:ascii="宋体" w:hAnsi="宋体" w:eastAsia="宋体" w:cstheme="minorBidi"/>
          <w:sz w:val="24"/>
          <w:lang w:val="en-US"/>
        </w:rPr>
      </w:pPr>
      <w:r>
        <w:rPr>
          <w:rFonts w:hint="eastAsia" w:ascii="宋体" w:hAnsi="宋体" w:eastAsia="宋体" w:cstheme="minorBidi"/>
          <w:sz w:val="24"/>
          <w:lang w:val="en-US"/>
        </w:rPr>
        <w:t>[7]杨建顺,刘艺,许兵,等.新时代中国行政法前沿问题研究[M].中国法治出版社:202312:482.</w:t>
      </w:r>
    </w:p>
    <w:p w14:paraId="1929155F">
      <w:pPr>
        <w:snapToGrid/>
        <w:spacing w:beforeAutospacing="0" w:afterAutospacing="0" w:line="360" w:lineRule="auto"/>
        <w:ind w:left="0" w:leftChars="0" w:right="0" w:rightChars="0" w:firstLine="0" w:firstLineChars="0"/>
        <w:jc w:val="both"/>
        <w:rPr>
          <w:rFonts w:hint="eastAsia" w:ascii="宋体" w:hAnsi="宋体" w:eastAsia="宋体" w:cstheme="minorBidi"/>
          <w:sz w:val="24"/>
          <w:lang w:val="en-US"/>
        </w:rPr>
      </w:pPr>
      <w:r>
        <w:rPr>
          <w:rFonts w:hint="eastAsia" w:ascii="宋体" w:hAnsi="宋体" w:eastAsia="宋体" w:cstheme="minorBidi"/>
          <w:sz w:val="24"/>
          <w:lang w:val="en-US"/>
        </w:rPr>
        <w:t>[8]阿海曲洛.行政法平衡论的历史演进与理论争鸣——基于文献述评[J].中共乐山市委党校学报,2023,25(05):93-100.</w:t>
      </w:r>
    </w:p>
    <w:p w14:paraId="C14C9FA9">
      <w:pPr>
        <w:snapToGrid/>
        <w:spacing w:beforeAutospacing="0" w:afterAutospacing="0" w:line="360" w:lineRule="auto"/>
        <w:ind w:left="0" w:leftChars="0" w:right="0" w:rightChars="0" w:firstLine="0" w:firstLineChars="0"/>
        <w:jc w:val="both"/>
        <w:rPr>
          <w:rFonts w:hint="eastAsia" w:ascii="宋体" w:hAnsi="宋体" w:eastAsia="宋体" w:cstheme="minorBidi"/>
          <w:sz w:val="24"/>
          <w:lang w:val="en-US"/>
        </w:rPr>
      </w:pPr>
      <w:r>
        <w:rPr>
          <w:rFonts w:hint="eastAsia" w:ascii="宋体" w:hAnsi="宋体" w:eastAsia="宋体" w:cstheme="minorBidi"/>
          <w:sz w:val="24"/>
          <w:lang w:val="en-US"/>
        </w:rPr>
        <w:t>[9]莫于川.发展全过程人民民主与民主行政法理论探索[J].荆楚法学,2023,(03):4-20.</w:t>
      </w:r>
    </w:p>
    <w:p w14:paraId="E3B19DA9">
      <w:pPr>
        <w:snapToGrid/>
        <w:spacing w:beforeAutospacing="0" w:afterAutospacing="0" w:line="360" w:lineRule="auto"/>
        <w:ind w:left="0" w:leftChars="0" w:right="0" w:rightChars="0" w:firstLine="0" w:firstLineChars="0"/>
        <w:jc w:val="both"/>
        <w:rPr>
          <w:rFonts w:hint="eastAsia" w:ascii="宋体" w:hAnsi="宋体" w:eastAsia="宋体" w:cstheme="minorBidi"/>
          <w:sz w:val="24"/>
        </w:rPr>
      </w:pPr>
      <w:r>
        <w:rPr>
          <w:rFonts w:hint="eastAsia" w:ascii="宋体" w:hAnsi="宋体" w:eastAsia="宋体" w:cstheme="minorBidi"/>
          <w:sz w:val="24"/>
          <w:lang w:val="en-US"/>
        </w:rPr>
        <w:t>[10]赵宝.公私合作背景下行政法发展的挑战与应对[J].司法智库,2021,5(02):27-41.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2F27762"/>
    <w:rsid w:val="43B42780"/>
    <w:rsid w:val="73F531E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8">
    <w:name w:val="Default Paragraph Font"/>
    <w:uiPriority w:val="1"/>
  </w:style>
  <w:style w:type="table" w:default="1" w:styleId="7">
    <w:name w:val="Normal Table"/>
    <w:uiPriority w:val="99"/>
    <w:tblPr>
      <w:tblCellMar>
        <w:top w:w="0" w:type="dxa"/>
        <w:left w:w="108" w:type="dxa"/>
        <w:bottom w:w="0" w:type="dxa"/>
        <w:right w:w="108" w:type="dxa"/>
      </w:tblCellMar>
    </w:tblPr>
  </w:style>
  <w:style w:type="paragraph" w:styleId="4">
    <w:name w:val="toc 3"/>
    <w:basedOn w:val="1"/>
    <w:next w:val="1"/>
    <w:uiPriority w:val="0"/>
    <w:pPr>
      <w:ind w:left="840" w:leftChars="400"/>
    </w:pPr>
  </w:style>
  <w:style w:type="paragraph" w:styleId="5">
    <w:name w:val="toc 1"/>
    <w:basedOn w:val="1"/>
    <w:next w:val="1"/>
    <w:qFormat/>
    <w:uiPriority w:val="0"/>
  </w:style>
  <w:style w:type="paragraph" w:styleId="6">
    <w:name w:val="toc 2"/>
    <w:basedOn w:val="1"/>
    <w:next w:val="1"/>
    <w:uiPriority w:val="0"/>
    <w:pPr>
      <w:ind w:left="420" w:leftChars="200"/>
    </w:pPr>
  </w:style>
  <w:style w:type="character" w:customStyle="1" w:styleId="9">
    <w:name w:val="封面1"/>
    <w:qFormat/>
    <w:uiPriority w:val="0"/>
    <w:rPr>
      <w:rFonts w:ascii="Times New Roman" w:hAnsi="Times New Roman" w:eastAsia="楷体_GB2312"/>
      <w:spacing w:val="60"/>
      <w:kern w:val="84"/>
      <w:sz w:val="84"/>
    </w:rPr>
  </w:style>
  <w:style w:type="character" w:customStyle="1" w:styleId="10">
    <w:name w:val="封面2"/>
    <w:qFormat/>
    <w:uiPriority w:val="0"/>
    <w:rPr>
      <w:b/>
      <w:spacing w:val="60"/>
      <w:sz w:val="44"/>
    </w:rPr>
  </w:style>
  <w:style w:type="character" w:customStyle="1" w:styleId="11">
    <w:name w:val="封面-论文英文题目"/>
    <w:qFormat/>
    <w:uiPriority w:val="0"/>
    <w:rPr>
      <w:rFonts w:ascii="Times New Roman" w:hAnsi="Times New Roman" w:eastAsia="宋体"/>
      <w:sz w:val="3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8688</Words>
  <Characters>8928</Characters>
  <Paragraphs>70</Paragraphs>
  <TotalTime>1</TotalTime>
  <ScaleCrop>false</ScaleCrop>
  <LinksUpToDate>false</LinksUpToDate>
  <CharactersWithSpaces>9033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2026-03-06T11:02:00Z</dcterms:created>
  <dc:creator>V2309A</dc:creator>
  <cp:lastModifiedBy>楠木</cp:lastModifiedBy>
  <dcterms:modified xsi:type="dcterms:W3CDTF">2026-03-06T11:52:53Z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C8FFA4E05F5347F0BCC33D25C98C6CC8_13</vt:lpwstr>
  </property>
  <property fmtid="{D5CDD505-2E9C-101B-9397-08002B2CF9AE}" pid="3" name="KSOTemplateDocerSaveRecord">
    <vt:lpwstr>eyJoZGlkIjoiMDk2NTYyMGRhZDhlZDRmOWI4NGI0NjM2MDZkYzQwNTkiLCJ1c2VySWQiOiIzOTA1OTYwNDIifQ==</vt:lpwstr>
  </property>
  <property fmtid="{D5CDD505-2E9C-101B-9397-08002B2CF9AE}" pid="4" name="KSOProductBuildVer">
    <vt:lpwstr>2052-12.1.0.25225</vt:lpwstr>
  </property>
</Properties>
</file>