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FDD2A">
      <w:pPr>
        <w:spacing w:before="62" w:beforeLines="20" w:after="156" w:afterLines="50" w:line="360" w:lineRule="auto"/>
        <w:jc w:val="center"/>
        <w:rPr>
          <w:rFonts w:eastAsia="楷体_GB2312"/>
          <w:sz w:val="60"/>
        </w:rPr>
      </w:pPr>
      <w:bookmarkStart w:id="33" w:name="_GoBack"/>
      <w:bookmarkEnd w:id="33"/>
      <w:r>
        <w:rPr>
          <w:sz w:val="30"/>
        </w:rPr>
        <w:drawing>
          <wp:anchor distT="0" distB="0" distL="114300" distR="114300" simplePos="0" relativeHeight="251660288" behindDoc="0" locked="0" layoutInCell="1" allowOverlap="1">
            <wp:simplePos x="0" y="0"/>
            <wp:positionH relativeFrom="column">
              <wp:posOffset>-104140</wp:posOffset>
            </wp:positionH>
            <wp:positionV relativeFrom="paragraph">
              <wp:posOffset>490220</wp:posOffset>
            </wp:positionV>
            <wp:extent cx="957580" cy="878205"/>
            <wp:effectExtent l="0" t="0" r="2540" b="5715"/>
            <wp:wrapNone/>
            <wp:docPr id="1" name="图片 8"/>
            <wp:cNvGraphicFramePr/>
            <a:graphic xmlns:a="http://schemas.openxmlformats.org/drawingml/2006/main">
              <a:graphicData uri="http://schemas.openxmlformats.org/drawingml/2006/picture">
                <pic:pic xmlns:pic="http://schemas.openxmlformats.org/drawingml/2006/picture">
                  <pic:nvPicPr>
                    <pic:cNvPr id="1" name="图片 8"/>
                    <pic:cNvPicPr/>
                  </pic:nvPicPr>
                  <pic:blipFill>
                    <a:blip r:embed="rId8"/>
                    <a:stretch>
                      <a:fillRect/>
                    </a:stretch>
                  </pic:blipFill>
                  <pic:spPr>
                    <a:xfrm>
                      <a:off x="0" y="0"/>
                      <a:ext cx="957580" cy="878205"/>
                    </a:xfrm>
                    <a:prstGeom prst="rect">
                      <a:avLst/>
                    </a:prstGeom>
                    <a:noFill/>
                    <a:ln>
                      <a:noFill/>
                    </a:ln>
                  </pic:spPr>
                </pic:pic>
              </a:graphicData>
            </a:graphic>
          </wp:anchor>
        </w:drawing>
      </w:r>
      <w:r>
        <w:rPr>
          <w:sz w:val="60"/>
        </w:rPr>
        <w:drawing>
          <wp:anchor distT="0" distB="0" distL="114300" distR="114300" simplePos="0" relativeHeight="251659264" behindDoc="0" locked="0" layoutInCell="1" allowOverlap="1">
            <wp:simplePos x="0" y="0"/>
            <wp:positionH relativeFrom="column">
              <wp:posOffset>914400</wp:posOffset>
            </wp:positionH>
            <wp:positionV relativeFrom="paragraph">
              <wp:posOffset>693420</wp:posOffset>
            </wp:positionV>
            <wp:extent cx="3500120" cy="586740"/>
            <wp:effectExtent l="0" t="0" r="5080" b="7620"/>
            <wp:wrapTight wrapText="bothSides">
              <wp:wrapPolygon>
                <wp:start x="0" y="0"/>
                <wp:lineTo x="0" y="21319"/>
                <wp:lineTo x="21537" y="21319"/>
                <wp:lineTo x="21537" y="0"/>
                <wp:lineTo x="0" y="0"/>
              </wp:wrapPolygon>
            </wp:wrapTight>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9"/>
                    <a:srcRect r="3162"/>
                    <a:stretch>
                      <a:fillRect/>
                    </a:stretch>
                  </pic:blipFill>
                  <pic:spPr>
                    <a:xfrm>
                      <a:off x="0" y="0"/>
                      <a:ext cx="3500120" cy="586740"/>
                    </a:xfrm>
                    <a:prstGeom prst="rect">
                      <a:avLst/>
                    </a:prstGeom>
                    <a:noFill/>
                    <a:ln>
                      <a:noFill/>
                    </a:ln>
                  </pic:spPr>
                </pic:pic>
              </a:graphicData>
            </a:graphic>
          </wp:anchor>
        </w:drawing>
      </w:r>
    </w:p>
    <w:p w14:paraId="27981265">
      <w:pPr>
        <w:spacing w:before="62" w:beforeLines="20" w:after="156" w:afterLines="50" w:line="360" w:lineRule="auto"/>
        <w:jc w:val="center"/>
        <w:rPr>
          <w:rFonts w:hint="eastAsia"/>
          <w:sz w:val="60"/>
        </w:rPr>
      </w:pPr>
    </w:p>
    <w:p w14:paraId="5B2BCE6E">
      <w:pPr>
        <w:spacing w:before="62" w:beforeLines="20" w:after="156" w:afterLines="50" w:line="360" w:lineRule="auto"/>
        <w:jc w:val="center"/>
        <w:rPr>
          <w:b/>
          <w:spacing w:val="60"/>
          <w:sz w:val="52"/>
          <w:szCs w:val="52"/>
        </w:rPr>
      </w:pPr>
      <w:r>
        <w:rPr>
          <w:rFonts w:hint="eastAsia"/>
          <w:b/>
          <w:spacing w:val="60"/>
          <w:sz w:val="52"/>
          <w:szCs w:val="52"/>
        </w:rPr>
        <w:t>继续教育学院</w:t>
      </w:r>
    </w:p>
    <w:p w14:paraId="19624F45">
      <w:pPr>
        <w:spacing w:before="62" w:beforeLines="20" w:after="156" w:afterLines="50" w:line="360" w:lineRule="auto"/>
        <w:jc w:val="center"/>
        <w:rPr>
          <w:b/>
          <w:spacing w:val="60"/>
          <w:sz w:val="52"/>
          <w:szCs w:val="52"/>
        </w:rPr>
      </w:pPr>
    </w:p>
    <w:p w14:paraId="01E6330A">
      <w:pPr>
        <w:spacing w:before="62" w:beforeLines="20" w:after="156" w:afterLines="50" w:line="360" w:lineRule="auto"/>
        <w:jc w:val="center"/>
        <w:rPr>
          <w:b/>
          <w:spacing w:val="60"/>
          <w:sz w:val="52"/>
          <w:szCs w:val="52"/>
        </w:rPr>
      </w:pPr>
      <w:r>
        <w:rPr>
          <w:b/>
          <w:spacing w:val="60"/>
          <w:sz w:val="52"/>
          <w:szCs w:val="52"/>
        </w:rPr>
        <w:t>毕业论文</w:t>
      </w:r>
    </w:p>
    <w:p w14:paraId="11CD9073">
      <w:pPr>
        <w:autoSpaceDE w:val="0"/>
        <w:autoSpaceDN w:val="0"/>
        <w:spacing w:before="2496" w:beforeLines="800" w:after="312" w:afterLines="100"/>
        <w:ind w:right="289"/>
        <w:rPr>
          <w:rFonts w:hint="eastAsia" w:ascii="宋体" w:hAnsi="宋体"/>
          <w:b/>
          <w:sz w:val="28"/>
          <w:szCs w:val="28"/>
          <w:u w:val="single"/>
        </w:rPr>
      </w:pPr>
      <w:r>
        <w:rPr>
          <w:b/>
          <w:sz w:val="32"/>
        </w:rPr>
        <w:t>论文题目 智慧城市建设背景下城市公共文化服务的问题研究——以宁波市为例</w:t>
      </w:r>
    </w:p>
    <w:p w14:paraId="51A02C84">
      <w:pPr>
        <w:spacing w:before="240" w:line="520" w:lineRule="exact"/>
        <w:ind w:firstLine="1470"/>
        <w:rPr>
          <w:b/>
          <w:sz w:val="28"/>
          <w:u w:val="single"/>
        </w:rPr>
      </w:pPr>
      <w:r>
        <w:rPr>
          <w:b/>
          <w:sz w:val="28"/>
        </w:rPr>
        <w:t>作者姓名</w:t>
      </w:r>
      <w:r>
        <w:rPr>
          <w:b/>
          <w:sz w:val="28"/>
          <w:u w:val="single"/>
        </w:rPr>
        <w:t xml:space="preserve">        </w:t>
      </w:r>
      <w:r>
        <w:rPr>
          <w:rFonts w:hint="eastAsia"/>
          <w:b/>
          <w:sz w:val="28"/>
          <w:u w:val="single"/>
        </w:rPr>
        <w:t xml:space="preserve"> </w:t>
      </w:r>
      <w:r>
        <w:rPr>
          <w:rFonts w:hint="eastAsia" w:ascii="宋体" w:hAnsi="宋体"/>
          <w:b/>
          <w:bCs/>
          <w:sz w:val="28"/>
          <w:szCs w:val="28"/>
          <w:u w:val="single"/>
        </w:rPr>
        <w:t xml:space="preserve"> </w:t>
      </w:r>
      <w:r>
        <w:rPr>
          <w:b/>
          <w:sz w:val="28"/>
          <w:u w:val="single"/>
        </w:rPr>
        <w:t xml:space="preserve">                       </w:t>
      </w:r>
    </w:p>
    <w:p w14:paraId="3D3F8B05">
      <w:pPr>
        <w:spacing w:before="240" w:line="520" w:lineRule="exact"/>
        <w:ind w:firstLine="1470"/>
        <w:rPr>
          <w:sz w:val="28"/>
        </w:rPr>
      </w:pPr>
      <w:r>
        <w:rPr>
          <w:b/>
          <w:sz w:val="28"/>
        </w:rPr>
        <w:t>专业班级</w:t>
      </w:r>
      <w:r>
        <w:rPr>
          <w:b/>
          <w:sz w:val="28"/>
          <w:u w:val="single"/>
        </w:rPr>
        <w:t xml:space="preserve">       </w:t>
      </w:r>
      <w:r>
        <w:rPr>
          <w:rFonts w:hint="eastAsia"/>
          <w:b/>
          <w:sz w:val="28"/>
          <w:u w:val="single"/>
        </w:rPr>
        <w:t xml:space="preserve">       </w:t>
      </w:r>
      <w:r>
        <w:rPr>
          <w:b/>
          <w:sz w:val="28"/>
          <w:u w:val="single"/>
        </w:rPr>
        <w:t xml:space="preserve">                   </w:t>
      </w:r>
    </w:p>
    <w:p w14:paraId="354B8E78">
      <w:pPr>
        <w:spacing w:before="360" w:line="520" w:lineRule="exact"/>
        <w:ind w:firstLine="1470"/>
        <w:rPr>
          <w:b/>
          <w:sz w:val="28"/>
        </w:rPr>
      </w:pPr>
      <w:r>
        <w:rPr>
          <w:b/>
          <w:sz w:val="28"/>
        </w:rPr>
        <w:t>学    号</w:t>
      </w:r>
      <w:r>
        <w:rPr>
          <w:b/>
          <w:sz w:val="28"/>
          <w:u w:val="single"/>
        </w:rPr>
        <w:t xml:space="preserve">        _                        </w:t>
      </w:r>
    </w:p>
    <w:p w14:paraId="276BFF2C">
      <w:pPr>
        <w:spacing w:before="360" w:line="520" w:lineRule="exact"/>
        <w:ind w:firstLine="1470"/>
        <w:rPr>
          <w:sz w:val="28"/>
        </w:rPr>
      </w:pPr>
      <w:r>
        <w:rPr>
          <w:b/>
          <w:sz w:val="28"/>
        </w:rPr>
        <w:t>指导教师</w:t>
      </w:r>
      <w:r>
        <w:rPr>
          <w:b/>
          <w:sz w:val="28"/>
          <w:u w:val="single"/>
        </w:rPr>
        <w:t xml:space="preserve">         </w:t>
      </w:r>
      <w:r>
        <w:rPr>
          <w:rFonts w:hint="eastAsia"/>
          <w:b/>
          <w:sz w:val="28"/>
          <w:u w:val="single"/>
        </w:rPr>
        <w:t xml:space="preserve"> </w:t>
      </w:r>
      <w:r>
        <w:rPr>
          <w:b/>
          <w:sz w:val="28"/>
          <w:u w:val="single"/>
        </w:rPr>
        <w:t xml:space="preserve">                       </w:t>
      </w:r>
    </w:p>
    <w:p w14:paraId="7BD26840">
      <w:pPr>
        <w:rPr>
          <w:rFonts w:eastAsia="楷体_GB2312"/>
          <w:b/>
          <w:sz w:val="32"/>
        </w:rPr>
      </w:pPr>
    </w:p>
    <w:p w14:paraId="74B54E99">
      <w:pPr>
        <w:ind w:firstLine="1506" w:firstLineChars="500"/>
        <w:rPr>
          <w:b/>
          <w:sz w:val="30"/>
          <w:u w:val="single"/>
        </w:rPr>
        <w:sectPr>
          <w:headerReference r:id="rId3" w:type="default"/>
          <w:footerReference r:id="rId4" w:type="default"/>
          <w:footerReference r:id="rId5" w:type="even"/>
          <w:pgSz w:w="11906" w:h="16838"/>
          <w:pgMar w:top="1440" w:right="1797" w:bottom="1440" w:left="1797" w:header="992" w:footer="992" w:gutter="0"/>
          <w:pgNumType w:fmt="upperRoman" w:start="1"/>
          <w:cols w:space="720" w:num="1"/>
          <w:titlePg/>
          <w:docGrid w:type="lines" w:linePitch="312" w:charSpace="0"/>
        </w:sectPr>
      </w:pPr>
      <w:r>
        <w:rPr>
          <w:b/>
          <w:sz w:val="30"/>
        </w:rPr>
        <w:t>提交日期</w:t>
      </w:r>
      <w:r>
        <w:rPr>
          <w:rFonts w:hint="eastAsia"/>
          <w:b/>
          <w:sz w:val="30"/>
        </w:rPr>
        <w:t xml:space="preserve"> </w:t>
      </w:r>
      <w:r>
        <w:rPr>
          <w:b/>
          <w:sz w:val="30"/>
          <w:u w:val="single"/>
        </w:rPr>
        <w:t xml:space="preserve">     年         月</w:t>
      </w:r>
      <w:r>
        <w:rPr>
          <w:rFonts w:hint="eastAsia"/>
          <w:b/>
          <w:sz w:val="30"/>
          <w:u w:val="single"/>
        </w:rPr>
        <w:t xml:space="preserve"> </w:t>
      </w:r>
      <w:r>
        <w:rPr>
          <w:b/>
          <w:sz w:val="30"/>
          <w:u w:val="single"/>
        </w:rPr>
        <w:t xml:space="preserve">          </w:t>
      </w:r>
    </w:p>
    <w:p w14:paraId="5C8D7AC3">
      <w:pPr>
        <w:jc w:val="center"/>
        <w:rPr>
          <w:rFonts w:eastAsia="黑体"/>
          <w:b/>
          <w:sz w:val="32"/>
        </w:rPr>
      </w:pPr>
    </w:p>
    <w:p w14:paraId="1149C13F">
      <w:pPr>
        <w:jc w:val="center"/>
        <w:outlineLvl w:val="0"/>
        <w:rPr>
          <w:rFonts w:eastAsia="黑体"/>
          <w:b/>
          <w:sz w:val="32"/>
        </w:rPr>
      </w:pPr>
      <w:bookmarkStart w:id="0" w:name="_Toc3253"/>
      <w:r>
        <w:rPr>
          <w:rFonts w:hint="eastAsia" w:eastAsia="黑体"/>
          <w:b/>
          <w:sz w:val="32"/>
        </w:rPr>
        <w:t>独创性声明</w:t>
      </w:r>
      <w:bookmarkEnd w:id="0"/>
    </w:p>
    <w:p w14:paraId="61DF2457">
      <w:pPr>
        <w:jc w:val="center"/>
        <w:rPr>
          <w:rFonts w:eastAsia="黑体"/>
          <w:b/>
          <w:sz w:val="32"/>
        </w:rPr>
      </w:pPr>
    </w:p>
    <w:p w14:paraId="5E756297">
      <w:pPr>
        <w:jc w:val="center"/>
        <w:rPr>
          <w:rFonts w:hint="eastAsia" w:eastAsia="黑体"/>
          <w:b/>
          <w:sz w:val="32"/>
        </w:rPr>
      </w:pPr>
    </w:p>
    <w:p w14:paraId="7F929E23">
      <w:pPr>
        <w:ind w:firstLine="560" w:firstLineChars="200"/>
        <w:jc w:val="left"/>
        <w:rPr>
          <w:rFonts w:ascii="宋体" w:hAnsi="宋体"/>
          <w:bCs/>
          <w:sz w:val="28"/>
          <w:szCs w:val="28"/>
        </w:rPr>
      </w:pPr>
      <w:r>
        <w:rPr>
          <w:rFonts w:ascii="宋体" w:hAnsi="宋体"/>
          <w:sz w:val="28"/>
        </w:rPr>
        <w:t>本毕业设计（论文）是我在指导教师悉心关怀下，由我本人独立完成。文中引用他人的研究成果均已加以标注；其他人士对我研究成果所起的帮助与启发在致谢部分已做出交代；除此之外的所有内容均为本人独立完成。特此声明。</w:t>
      </w:r>
    </w:p>
    <w:p w14:paraId="356F80DA">
      <w:pPr>
        <w:jc w:val="center"/>
        <w:rPr>
          <w:rFonts w:ascii="宋体" w:hAnsi="宋体"/>
          <w:bCs/>
          <w:sz w:val="28"/>
          <w:szCs w:val="28"/>
        </w:rPr>
      </w:pPr>
    </w:p>
    <w:p w14:paraId="13CEDABD">
      <w:pPr>
        <w:ind w:firstLine="560" w:firstLineChars="200"/>
        <w:jc w:val="left"/>
        <w:rPr>
          <w:rFonts w:ascii="宋体" w:hAnsi="宋体"/>
          <w:bCs/>
          <w:sz w:val="28"/>
          <w:szCs w:val="28"/>
        </w:rPr>
      </w:pPr>
      <w:r>
        <w:rPr>
          <w:rFonts w:hint="eastAsia" w:ascii="宋体" w:hAnsi="宋体"/>
          <w:bCs/>
          <w:sz w:val="28"/>
          <w:szCs w:val="28"/>
        </w:rPr>
        <w:t xml:space="preserve">论文作者签名： </w:t>
      </w:r>
      <w:r>
        <w:rPr>
          <w:rFonts w:ascii="宋体" w:hAnsi="宋体"/>
          <w:bCs/>
          <w:sz w:val="28"/>
          <w:szCs w:val="28"/>
        </w:rPr>
        <w:t xml:space="preserve">          </w:t>
      </w:r>
      <w:r>
        <w:rPr>
          <w:rFonts w:hint="eastAsia" w:ascii="宋体" w:hAnsi="宋体"/>
          <w:bCs/>
          <w:sz w:val="28"/>
          <w:szCs w:val="28"/>
        </w:rPr>
        <w:t xml:space="preserve"> </w:t>
      </w:r>
      <w:r>
        <w:rPr>
          <w:rFonts w:ascii="宋体" w:hAnsi="宋体"/>
          <w:bCs/>
          <w:sz w:val="28"/>
          <w:szCs w:val="28"/>
        </w:rPr>
        <w:t xml:space="preserve">    </w:t>
      </w:r>
      <w:r>
        <w:rPr>
          <w:rFonts w:hint="eastAsia" w:ascii="宋体" w:hAnsi="宋体"/>
          <w:bCs/>
          <w:sz w:val="28"/>
          <w:szCs w:val="28"/>
        </w:rPr>
        <w:t>日期：</w:t>
      </w:r>
    </w:p>
    <w:p w14:paraId="63E825E1">
      <w:pPr>
        <w:jc w:val="center"/>
        <w:rPr>
          <w:rFonts w:ascii="宋体" w:hAnsi="宋体"/>
          <w:bCs/>
          <w:sz w:val="28"/>
          <w:szCs w:val="28"/>
        </w:rPr>
      </w:pPr>
    </w:p>
    <w:p w14:paraId="0D8276D1">
      <w:pPr>
        <w:jc w:val="center"/>
        <w:rPr>
          <w:rFonts w:ascii="宋体" w:hAnsi="宋体"/>
          <w:bCs/>
          <w:sz w:val="28"/>
          <w:szCs w:val="28"/>
        </w:rPr>
      </w:pPr>
    </w:p>
    <w:p w14:paraId="01E78AD6">
      <w:pPr>
        <w:jc w:val="center"/>
        <w:outlineLvl w:val="0"/>
        <w:rPr>
          <w:rFonts w:eastAsia="黑体"/>
          <w:b/>
          <w:sz w:val="32"/>
        </w:rPr>
      </w:pPr>
      <w:bookmarkStart w:id="1" w:name="_Toc15860"/>
      <w:r>
        <w:rPr>
          <w:rFonts w:hint="eastAsia" w:eastAsia="黑体"/>
          <w:b/>
          <w:sz w:val="32"/>
        </w:rPr>
        <w:t>关于论文使用授权的说明</w:t>
      </w:r>
      <w:bookmarkEnd w:id="1"/>
    </w:p>
    <w:p w14:paraId="2F8B9014">
      <w:pPr>
        <w:jc w:val="center"/>
        <w:rPr>
          <w:rFonts w:ascii="宋体" w:hAnsi="宋体"/>
          <w:bCs/>
          <w:sz w:val="28"/>
          <w:szCs w:val="28"/>
        </w:rPr>
      </w:pPr>
    </w:p>
    <w:p w14:paraId="0EB07385">
      <w:pPr>
        <w:jc w:val="center"/>
        <w:rPr>
          <w:rFonts w:hint="eastAsia" w:ascii="宋体" w:hAnsi="宋体"/>
          <w:bCs/>
          <w:sz w:val="28"/>
          <w:szCs w:val="28"/>
        </w:rPr>
      </w:pPr>
    </w:p>
    <w:p w14:paraId="0DE361E3">
      <w:pPr>
        <w:jc w:val="left"/>
        <w:rPr>
          <w:rFonts w:hint="eastAsia" w:ascii="宋体" w:hAnsi="宋体"/>
          <w:bCs/>
          <w:sz w:val="28"/>
          <w:szCs w:val="28"/>
        </w:rPr>
      </w:pPr>
      <w:r>
        <w:rPr>
          <w:rFonts w:ascii="宋体" w:hAnsi="宋体"/>
          <w:sz w:val="28"/>
        </w:rPr>
        <w:t>本人已认真阅读并了解浙江工业大学有关保留、使用学位论文的规定，即：学校有权保留送交论文的纸质材料、复印件和电子版，供他人查阅、借阅；学校可公布论文全文或部分，可用影印、缩印或其他复制手段保存论文。保密论文在解密后遵守此规定。</w:t>
      </w:r>
    </w:p>
    <w:p w14:paraId="0C7D89A2">
      <w:pPr>
        <w:jc w:val="center"/>
        <w:rPr>
          <w:rFonts w:hint="eastAsia" w:ascii="宋体" w:hAnsi="宋体"/>
          <w:bCs/>
          <w:sz w:val="28"/>
          <w:szCs w:val="28"/>
        </w:rPr>
      </w:pPr>
    </w:p>
    <w:p w14:paraId="13985995">
      <w:pPr>
        <w:ind w:firstLine="560" w:firstLineChars="200"/>
        <w:jc w:val="left"/>
        <w:rPr>
          <w:rFonts w:ascii="宋体" w:hAnsi="宋体"/>
          <w:bCs/>
          <w:sz w:val="28"/>
          <w:szCs w:val="28"/>
        </w:rPr>
        <w:sectPr>
          <w:footerReference r:id="rId6" w:type="first"/>
          <w:pgSz w:w="11906" w:h="16838"/>
          <w:pgMar w:top="1440" w:right="1797" w:bottom="1440" w:left="1797" w:header="992" w:footer="992" w:gutter="0"/>
          <w:pgNumType w:fmt="upperRoman" w:start="1"/>
          <w:cols w:space="720" w:num="1"/>
          <w:titlePg/>
          <w:docGrid w:type="lines" w:linePitch="312" w:charSpace="0"/>
        </w:sectPr>
      </w:pPr>
      <w:r>
        <w:rPr>
          <w:rFonts w:ascii="宋体" w:hAnsi="宋体"/>
          <w:sz w:val="28"/>
        </w:rPr>
        <w:t>论文作者签名：          指导教师签名：         日期：</w:t>
      </w:r>
    </w:p>
    <w:p w14:paraId="77DCCA5F">
      <w:pPr>
        <w:spacing w:before="312" w:beforeLines="100" w:after="156" w:afterLines="50"/>
        <w:jc w:val="center"/>
        <w:outlineLvl w:val="9"/>
        <w:rPr>
          <w:rFonts w:ascii="Times New Roman" w:hAnsi="Times New Roman" w:eastAsia="黑体" w:cs="Times New Roman"/>
          <w:b/>
          <w:sz w:val="32"/>
          <w:szCs w:val="32"/>
          <w:lang w:val="en-US"/>
        </w:rPr>
      </w:pPr>
    </w:p>
    <w:p w14:paraId="29D391B1">
      <w:pPr>
        <w:spacing w:before="312" w:beforeLines="100" w:after="156" w:afterLines="50"/>
        <w:jc w:val="center"/>
        <w:outlineLvl w:val="0"/>
        <w:rPr>
          <w:rFonts w:ascii="Times New Roman" w:hAnsi="Times New Roman" w:eastAsia="黑体" w:cs="Times New Roman"/>
          <w:b/>
          <w:sz w:val="32"/>
          <w:szCs w:val="32"/>
          <w:lang w:val="en-US"/>
        </w:rPr>
      </w:pPr>
      <w:bookmarkStart w:id="2" w:name="_Toc27572"/>
      <w:r>
        <w:rPr>
          <w:rFonts w:ascii="Times New Roman" w:hAnsi="Times New Roman" w:eastAsia="黑体" w:cs="Times New Roman"/>
          <w:b/>
          <w:sz w:val="32"/>
          <w:szCs w:val="32"/>
          <w:lang w:val="en-US"/>
        </w:rPr>
        <w:t>摘</w:t>
      </w:r>
      <w:r>
        <w:rPr>
          <w:rFonts w:hint="eastAsia" w:ascii="Times New Roman" w:hAnsi="Times New Roman" w:eastAsia="黑体" w:cs="Times New Roman"/>
          <w:b/>
          <w:sz w:val="32"/>
          <w:szCs w:val="32"/>
          <w:lang w:val="en-US" w:eastAsia="zh-CN"/>
        </w:rPr>
        <w:t xml:space="preserve">  </w:t>
      </w:r>
      <w:r>
        <w:rPr>
          <w:rFonts w:ascii="Times New Roman" w:hAnsi="Times New Roman" w:eastAsia="黑体" w:cs="Times New Roman"/>
          <w:b/>
          <w:sz w:val="32"/>
          <w:szCs w:val="32"/>
          <w:lang w:val="en-US"/>
        </w:rPr>
        <w:t>要</w:t>
      </w:r>
      <w:bookmarkEnd w:id="2"/>
    </w:p>
    <w:p w14:paraId="B20412D3">
      <w:pPr>
        <w:pStyle w:val="4"/>
        <w:spacing w:line="300" w:lineRule="auto"/>
        <w:ind w:firstLine="480"/>
        <w:rPr>
          <w:rFonts w:hint="eastAsia" w:ascii="Times New Roman" w:hAnsi="Times New Roman" w:cs="Times New Roman"/>
          <w:spacing w:val="-12"/>
          <w:sz w:val="24"/>
          <w:szCs w:val="24"/>
          <w:lang w:val="en-US"/>
        </w:rPr>
      </w:pPr>
      <w:r>
        <w:rPr>
          <w:rFonts w:ascii="Times New Roman" w:hAnsi="Times New Roman"/>
          <w:sz w:val="24"/>
        </w:rPr>
        <w:t>随着数字技术广泛应用于城市管理和服务民众生活当中，智慧城市的建设为城市公共文化服务转型和发展注入新的动力。而宁波作为中国首批智慧城市的试点城市，在公共文化服务智慧化转型方面的探索也取得一定成绩同时也存在许多不足之处。本文以宁波为例，结合文献查阅、走访调查以及数据分析等方式总结智慧城市建设与公共文化服务相结合的相关理论基础上对宁波智慧公共文化服务的发展情况进行全面总结并指出其中所面临的问题及其原因最后提出相应的建议。通过分析得出，宁波市在开展智慧公共文化服务过程中面临的问题有顶层设计统筹不够、数据孤岛现象严重、服务供给缺乏针对性、群众数字化能力差异较大以及运营管理缺失等，究其原因主要是技术应用和服务理念相脱离、资源配置不合理、制度建设不到位。据此本文从顶层设计、数据共享、服务供给、公众参与和运营保障等方面提出建议，希望对宁波乃至类似城市智慧公共文化服务高质量发展提供一定借鉴意义。</w:t>
      </w:r>
    </w:p>
    <w:p w14:paraId="2EDFA84A">
      <w:pPr>
        <w:spacing w:line="300" w:lineRule="auto"/>
        <w:ind w:firstLine="562" w:firstLineChars="200"/>
        <w:rPr>
          <w:rFonts w:hint="eastAsia" w:ascii="Times New Roman" w:hAnsi="Times New Roman" w:cs="Times New Roman"/>
          <w:b/>
          <w:sz w:val="28"/>
          <w:szCs w:val="28"/>
          <w:lang w:val="en-US"/>
        </w:rPr>
      </w:pPr>
    </w:p>
    <w:p w14:paraId="7921B459">
      <w:pPr>
        <w:spacing w:line="300" w:lineRule="auto"/>
        <w:ind w:firstLine="562" w:firstLineChars="200"/>
        <w:rPr>
          <w:rFonts w:hint="eastAsia" w:ascii="Times New Roman" w:hAnsi="Times New Roman" w:cs="Times New Roman"/>
          <w:szCs w:val="24"/>
          <w:lang w:val="en-US"/>
        </w:rPr>
      </w:pPr>
      <w:r>
        <w:rPr>
          <w:rFonts w:hint="eastAsia" w:ascii="Times New Roman" w:hAnsi="Times New Roman" w:cs="Times New Roman"/>
          <w:b/>
          <w:sz w:val="28"/>
          <w:szCs w:val="28"/>
          <w:lang w:val="en-US"/>
        </w:rPr>
        <w:t>关键词：</w:t>
      </w:r>
      <w:r>
        <w:rPr>
          <w:rFonts w:hint="eastAsia" w:ascii="Times New Roman" w:hAnsi="Times New Roman" w:cs="Times New Roman"/>
          <w:szCs w:val="24"/>
          <w:lang w:val="en-US"/>
        </w:rPr>
        <w:t>智慧城市；公共文化服务；智慧化转型；宁波市；精准服务</w:t>
      </w:r>
    </w:p>
    <w:p w14:paraId="112640AE">
      <w:pPr>
        <w:rPr>
          <w:lang w:val="en-US"/>
        </w:rPr>
        <w:sectPr>
          <w:pgSz w:w="11906" w:h="16838"/>
          <w:pgMar w:top="1440" w:right="1800" w:bottom="1440" w:left="1800" w:header="851" w:footer="992" w:gutter="0"/>
          <w:cols w:space="425" w:num="1"/>
          <w:docGrid w:type="lines" w:linePitch="312" w:charSpace="0"/>
        </w:sectPr>
      </w:pPr>
    </w:p>
    <w:p w14:paraId="3990F7FC">
      <w:pPr>
        <w:spacing w:line="300" w:lineRule="auto"/>
        <w:ind w:firstLine="643" w:firstLineChars="200"/>
        <w:jc w:val="center"/>
        <w:outlineLvl w:val="0"/>
        <w:rPr>
          <w:rFonts w:hint="eastAsia" w:ascii="Times New Roman" w:hAnsi="Times New Roman" w:cs="Times New Roman"/>
          <w:b/>
          <w:bCs/>
          <w:sz w:val="32"/>
          <w:szCs w:val="32"/>
          <w:lang w:val="en-US"/>
        </w:rPr>
      </w:pPr>
      <w:bookmarkStart w:id="3" w:name="_Toc15658"/>
      <w:r>
        <w:rPr>
          <w:rFonts w:hint="eastAsia" w:ascii="Times New Roman" w:hAnsi="Times New Roman" w:cs="Times New Roman"/>
          <w:b/>
          <w:bCs/>
          <w:sz w:val="32"/>
          <w:szCs w:val="32"/>
          <w:lang w:val="en-US"/>
        </w:rPr>
        <w:t>Abstract</w:t>
      </w:r>
      <w:bookmarkEnd w:id="3"/>
    </w:p>
    <w:p w14:paraId="79EB05C0">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Smart city development has added a fresh impetus to the change and modernization of urban public cultural services in the context of the intensive penetration of digital technology into urban governance and the provision of services to the population. Ningbo is one of the first pilot cities in the construction of China's smart cities, and it has carried out a set of practical experiments in the intelligent transformation of public cultural services, with both phased success and extensive problems. This paper uses Ningbo as a case study and uses literature review, field research, and data analysis to analyze scientifically the theoretical background of smart city-integrated public cultural services. It examines thoroughly the present situation, main problems, and contributing factors of smart public cultural service development in Ningbo before suggesting focused optimization measures. The study finds that there are a number of problems concerning the construction of smart public cultural services in Ningbo, such as poor coordination between top-level designs, significant data barriers, poor precision of services, uneven population digital literacy, and lack of support mechanism. They can be traced back to the gap between technological implementation and service doctrine, skewed distribution of resources, and slow legal protection measures. According to these observations, the research suggests optimizing the pathways along five aspects, namely: top-level design, data sharing, service provision, public participation, and operational support. It is aimed at supplying theoretical sources and practical recommendations to ensure the high quality development of smart public cultural services in Ningbo and other cities in the same conditions.</w:t>
      </w:r>
    </w:p>
    <w:p w14:paraId="656C50F2">
      <w:pPr>
        <w:spacing w:line="300" w:lineRule="auto"/>
        <w:ind w:firstLine="482" w:firstLineChars="200"/>
        <w:rPr>
          <w:rFonts w:hint="eastAsia" w:ascii="Times New Roman" w:hAnsi="Times New Roman" w:cs="Times New Roman"/>
          <w:b/>
          <w:bCs/>
          <w:sz w:val="24"/>
          <w:szCs w:val="24"/>
          <w:lang w:val="en-US"/>
        </w:rPr>
      </w:pPr>
    </w:p>
    <w:p w14:paraId="0AD18BFA">
      <w:pPr>
        <w:spacing w:line="300" w:lineRule="auto"/>
        <w:ind w:firstLine="482" w:firstLineChars="200"/>
        <w:rPr>
          <w:rFonts w:ascii="Times New Roman" w:hAnsi="Times New Roman" w:cs="Times New Roman"/>
          <w:b w:val="0"/>
          <w:bCs w:val="0"/>
          <w:sz w:val="24"/>
          <w:szCs w:val="24"/>
          <w:lang w:val="en-US"/>
        </w:rPr>
        <w:sectPr>
          <w:pgSz w:w="11906" w:h="16838"/>
          <w:pgMar w:top="1440" w:right="1800" w:bottom="1440" w:left="1800" w:header="851" w:footer="992" w:gutter="0"/>
          <w:cols w:space="425" w:num="1"/>
          <w:docGrid w:type="lines" w:linePitch="312" w:charSpace="0"/>
        </w:sectPr>
      </w:pPr>
      <w:r>
        <w:rPr>
          <w:rFonts w:hint="eastAsia" w:ascii="Times New Roman" w:hAnsi="Times New Roman" w:cs="Times New Roman"/>
          <w:b/>
          <w:bCs/>
          <w:sz w:val="24"/>
          <w:szCs w:val="24"/>
          <w:lang w:val="en-US"/>
        </w:rPr>
        <w:t>Keywords:</w:t>
      </w:r>
      <w:r>
        <w:rPr>
          <w:rFonts w:hint="eastAsia" w:ascii="Times New Roman" w:hAnsi="Times New Roman" w:cs="Times New Roman"/>
          <w:b w:val="0"/>
          <w:bCs w:val="0"/>
          <w:sz w:val="24"/>
          <w:szCs w:val="24"/>
          <w:lang w:val="en-US"/>
        </w:rPr>
        <w:t xml:space="preserve"> smart city; public cultural services; intelligent transformation; Ningbo; precision services</w:t>
      </w:r>
    </w:p>
    <w:p w14:paraId="4F1E0329">
      <w:pPr>
        <w:rPr>
          <w:lang w:val="en-US"/>
        </w:rPr>
        <w:sectPr>
          <w:pgSz w:w="11906" w:h="16838"/>
          <w:pgMar w:top="1440" w:right="1800" w:bottom="1440" w:left="1800" w:header="851" w:footer="992" w:gutter="0"/>
          <w:cols w:space="425" w:num="1"/>
          <w:docGrid w:type="lines" w:linePitch="312" w:charSpace="0"/>
        </w:sectPr>
      </w:pPr>
    </w:p>
    <w:sdt>
      <w:sdtPr>
        <w:rPr>
          <w:rFonts w:ascii="宋体" w:hAnsi="宋体" w:eastAsia="宋体" w:cs="Arial"/>
          <w:kern w:val="2"/>
          <w:sz w:val="21"/>
          <w:szCs w:val="22"/>
          <w:lang w:val="en-US" w:eastAsia="zh-CN" w:bidi="ar-SA"/>
        </w:rPr>
        <w:id w:val="147482446"/>
        <w15:color w:val="DBDBDB"/>
        <w:docPartObj>
          <w:docPartGallery w:val="Table of Contents"/>
          <w:docPartUnique/>
        </w:docPartObj>
      </w:sdtPr>
      <w:sdtEndPr>
        <w:rPr>
          <w:rFonts w:hint="eastAsia" w:ascii="宋体" w:hAnsi="宋体" w:eastAsia="宋体" w:cs="宋体"/>
          <w:kern w:val="2"/>
          <w:sz w:val="24"/>
          <w:szCs w:val="24"/>
          <w:lang w:val="en-US" w:eastAsia="zh-CN" w:bidi="ar-SA"/>
        </w:rPr>
      </w:sdtEndPr>
      <w:sdtContent>
        <w:p w14:paraId="512A880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4"/>
              <w:szCs w:val="24"/>
            </w:rPr>
          </w:pPr>
          <w:bookmarkStart w:id="4" w:name="_Toc24726_WPSOffice_Type3"/>
          <w:r>
            <w:rPr>
              <w:rFonts w:ascii="宋体" w:hAnsi="宋体" w:cs="宋体"/>
              <w:b/>
              <w:kern w:val="0"/>
              <w:sz w:val="36"/>
              <w:szCs w:val="22"/>
              <w:lang w:val="zh-CN" w:bidi="zh-CN"/>
            </w:rPr>
            <w:t>目</w:t>
          </w:r>
          <w:r>
            <w:rPr>
              <w:rFonts w:hint="eastAsia" w:ascii="宋体" w:hAnsi="宋体" w:cs="宋体"/>
              <w:b/>
              <w:kern w:val="0"/>
              <w:sz w:val="36"/>
              <w:szCs w:val="22"/>
              <w:lang w:bidi="zh-CN"/>
            </w:rPr>
            <w:t xml:space="preserve">  </w:t>
          </w:r>
          <w:r>
            <w:rPr>
              <w:rFonts w:ascii="宋体" w:hAnsi="宋体" w:cs="宋体"/>
              <w:b/>
              <w:kern w:val="0"/>
              <w:sz w:val="36"/>
              <w:szCs w:val="22"/>
              <w:lang w:val="zh-CN" w:bidi="zh-CN"/>
            </w:rPr>
            <w:t>录</w:t>
          </w:r>
          <w:bookmarkEnd w:id="4"/>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TOC \o "1-3" \h \u </w:instrText>
          </w:r>
          <w:r>
            <w:rPr>
              <w:rFonts w:hint="eastAsia" w:ascii="宋体" w:hAnsi="宋体" w:eastAsia="宋体" w:cs="宋体"/>
              <w:sz w:val="24"/>
              <w:szCs w:val="24"/>
              <w:lang w:val="en-US"/>
            </w:rPr>
            <w:fldChar w:fldCharType="separate"/>
          </w:r>
        </w:p>
        <w:p w14:paraId="5234D3E3">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黑体" w:hAnsi="黑体" w:eastAsia="黑体" w:cs="黑体"/>
              <w:b/>
              <w:bCs/>
              <w:sz w:val="24"/>
              <w:szCs w:val="24"/>
            </w:rPr>
          </w:pPr>
          <w:r>
            <w:rPr>
              <w:rFonts w:hint="eastAsia" w:ascii="黑体" w:hAnsi="黑体" w:eastAsia="黑体" w:cs="黑体"/>
              <w:b/>
              <w:bCs/>
              <w:sz w:val="24"/>
              <w:szCs w:val="24"/>
              <w:lang w:val="en-US"/>
            </w:rPr>
            <w:fldChar w:fldCharType="begin"/>
          </w:r>
          <w:r>
            <w:rPr>
              <w:rFonts w:hint="eastAsia" w:ascii="黑体" w:hAnsi="黑体" w:eastAsia="黑体" w:cs="黑体"/>
              <w:b/>
              <w:bCs/>
              <w:sz w:val="24"/>
              <w:szCs w:val="24"/>
              <w:lang w:val="en-US"/>
            </w:rPr>
            <w:instrText xml:space="preserve"> HYPERLINK \l _Toc27572 </w:instrText>
          </w:r>
          <w:r>
            <w:rPr>
              <w:rFonts w:hint="eastAsia" w:ascii="黑体" w:hAnsi="黑体" w:eastAsia="黑体" w:cs="黑体"/>
              <w:b/>
              <w:bCs/>
              <w:sz w:val="24"/>
              <w:szCs w:val="24"/>
              <w:lang w:val="en-US"/>
            </w:rPr>
            <w:fldChar w:fldCharType="separate"/>
          </w:r>
          <w:r>
            <w:rPr>
              <w:rFonts w:hint="eastAsia" w:ascii="黑体" w:hAnsi="黑体" w:eastAsia="黑体" w:cs="黑体"/>
              <w:b/>
              <w:bCs/>
              <w:sz w:val="24"/>
              <w:szCs w:val="24"/>
              <w:lang w:val="en-US"/>
            </w:rPr>
            <w:t>摘</w:t>
          </w:r>
          <w:r>
            <w:rPr>
              <w:rFonts w:hint="eastAsia" w:ascii="黑体" w:hAnsi="黑体" w:eastAsia="黑体" w:cs="黑体"/>
              <w:b/>
              <w:bCs/>
              <w:sz w:val="24"/>
              <w:szCs w:val="24"/>
              <w:lang w:val="en-US" w:eastAsia="zh-CN"/>
            </w:rPr>
            <w:t xml:space="preserve">  </w:t>
          </w:r>
          <w:r>
            <w:rPr>
              <w:rFonts w:hint="eastAsia" w:ascii="黑体" w:hAnsi="黑体" w:eastAsia="黑体" w:cs="黑体"/>
              <w:b/>
              <w:bCs/>
              <w:sz w:val="24"/>
              <w:szCs w:val="24"/>
              <w:lang w:val="en-US"/>
            </w:rPr>
            <w:t>要</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_Toc27572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2</w:t>
          </w:r>
          <w:r>
            <w:rPr>
              <w:rFonts w:hint="eastAsia" w:ascii="黑体" w:hAnsi="黑体" w:eastAsia="黑体" w:cs="黑体"/>
              <w:b/>
              <w:bCs/>
              <w:sz w:val="24"/>
              <w:szCs w:val="24"/>
            </w:rPr>
            <w:fldChar w:fldCharType="end"/>
          </w:r>
          <w:r>
            <w:rPr>
              <w:rFonts w:hint="eastAsia" w:ascii="黑体" w:hAnsi="黑体" w:eastAsia="黑体" w:cs="黑体"/>
              <w:b/>
              <w:bCs/>
              <w:sz w:val="24"/>
              <w:szCs w:val="24"/>
              <w:lang w:val="en-US"/>
            </w:rPr>
            <w:fldChar w:fldCharType="end"/>
          </w:r>
        </w:p>
        <w:p w14:paraId="30F48656">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黑体" w:hAnsi="黑体" w:eastAsia="黑体" w:cs="黑体"/>
              <w:b/>
              <w:bCs/>
              <w:sz w:val="24"/>
              <w:szCs w:val="24"/>
            </w:rPr>
          </w:pPr>
          <w:r>
            <w:rPr>
              <w:rFonts w:hint="eastAsia" w:ascii="黑体" w:hAnsi="黑体" w:eastAsia="黑体" w:cs="黑体"/>
              <w:b/>
              <w:bCs/>
              <w:sz w:val="24"/>
              <w:szCs w:val="24"/>
              <w:lang w:val="en-US"/>
            </w:rPr>
            <w:fldChar w:fldCharType="begin"/>
          </w:r>
          <w:r>
            <w:rPr>
              <w:rFonts w:hint="eastAsia" w:ascii="黑体" w:hAnsi="黑体" w:eastAsia="黑体" w:cs="黑体"/>
              <w:b/>
              <w:bCs/>
              <w:sz w:val="24"/>
              <w:szCs w:val="24"/>
              <w:lang w:val="en-US"/>
            </w:rPr>
            <w:instrText xml:space="preserve"> HYPERLINK \l _Toc15658 </w:instrText>
          </w:r>
          <w:r>
            <w:rPr>
              <w:rFonts w:hint="eastAsia" w:ascii="黑体" w:hAnsi="黑体" w:eastAsia="黑体" w:cs="黑体"/>
              <w:b/>
              <w:bCs/>
              <w:sz w:val="24"/>
              <w:szCs w:val="24"/>
              <w:lang w:val="en-US"/>
            </w:rPr>
            <w:fldChar w:fldCharType="separate"/>
          </w:r>
          <w:r>
            <w:rPr>
              <w:rFonts w:hint="eastAsia" w:ascii="黑体" w:hAnsi="黑体" w:eastAsia="黑体" w:cs="黑体"/>
              <w:b/>
              <w:bCs/>
              <w:sz w:val="24"/>
              <w:szCs w:val="24"/>
              <w:lang w:val="en-US"/>
            </w:rPr>
            <w:t>Abstract</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_Toc15658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3</w:t>
          </w:r>
          <w:r>
            <w:rPr>
              <w:rFonts w:hint="eastAsia" w:ascii="黑体" w:hAnsi="黑体" w:eastAsia="黑体" w:cs="黑体"/>
              <w:b/>
              <w:bCs/>
              <w:sz w:val="24"/>
              <w:szCs w:val="24"/>
            </w:rPr>
            <w:fldChar w:fldCharType="end"/>
          </w:r>
          <w:r>
            <w:rPr>
              <w:rFonts w:hint="eastAsia" w:ascii="黑体" w:hAnsi="黑体" w:eastAsia="黑体" w:cs="黑体"/>
              <w:b/>
              <w:bCs/>
              <w:sz w:val="24"/>
              <w:szCs w:val="24"/>
              <w:lang w:val="en-US"/>
            </w:rPr>
            <w:fldChar w:fldCharType="end"/>
          </w:r>
        </w:p>
        <w:p w14:paraId="24A6B4BC">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黑体" w:hAnsi="黑体" w:eastAsia="黑体" w:cs="黑体"/>
              <w:b/>
              <w:bCs/>
              <w:sz w:val="24"/>
              <w:szCs w:val="24"/>
              <w:lang w:val="en-US"/>
            </w:rPr>
            <w:fldChar w:fldCharType="begin"/>
          </w:r>
          <w:r>
            <w:rPr>
              <w:rFonts w:hint="eastAsia" w:ascii="黑体" w:hAnsi="黑体" w:eastAsia="黑体" w:cs="黑体"/>
              <w:b/>
              <w:bCs/>
              <w:sz w:val="24"/>
              <w:szCs w:val="24"/>
              <w:lang w:val="en-US"/>
            </w:rPr>
            <w:instrText xml:space="preserve"> HYPERLINK \l _Toc6936 </w:instrText>
          </w:r>
          <w:r>
            <w:rPr>
              <w:rFonts w:hint="eastAsia" w:ascii="黑体" w:hAnsi="黑体" w:eastAsia="黑体" w:cs="黑体"/>
              <w:b/>
              <w:bCs/>
              <w:sz w:val="24"/>
              <w:szCs w:val="24"/>
              <w:lang w:val="en-US"/>
            </w:rPr>
            <w:fldChar w:fldCharType="separate"/>
          </w:r>
          <w:r>
            <w:rPr>
              <w:rFonts w:hint="eastAsia" w:ascii="黑体" w:hAnsi="黑体" w:eastAsia="黑体" w:cs="黑体"/>
              <w:b/>
              <w:bCs/>
              <w:kern w:val="44"/>
              <w:sz w:val="24"/>
              <w:szCs w:val="24"/>
              <w:lang w:val="en-US"/>
            </w:rPr>
            <w:t>1 绪论</w:t>
          </w:r>
          <w:r>
            <w:rPr>
              <w:rFonts w:hint="eastAsia" w:ascii="黑体" w:hAnsi="黑体" w:eastAsia="黑体" w:cs="黑体"/>
              <w:b/>
              <w:bCs/>
              <w:sz w:val="24"/>
              <w:szCs w:val="24"/>
            </w:rPr>
            <w:tab/>
          </w:r>
          <w:r>
            <w:rPr>
              <w:rFonts w:hint="eastAsia" w:ascii="黑体" w:hAnsi="黑体" w:eastAsia="黑体" w:cs="黑体"/>
              <w:b/>
              <w:bCs/>
              <w:sz w:val="24"/>
              <w:szCs w:val="24"/>
            </w:rPr>
            <w:fldChar w:fldCharType="begin"/>
          </w:r>
          <w:r>
            <w:rPr>
              <w:rFonts w:hint="eastAsia" w:ascii="黑体" w:hAnsi="黑体" w:eastAsia="黑体" w:cs="黑体"/>
              <w:b/>
              <w:bCs/>
              <w:sz w:val="24"/>
              <w:szCs w:val="24"/>
            </w:rPr>
            <w:instrText xml:space="preserve"> PAGEREF _Toc6936 \h </w:instrText>
          </w:r>
          <w:r>
            <w:rPr>
              <w:rFonts w:hint="eastAsia" w:ascii="黑体" w:hAnsi="黑体" w:eastAsia="黑体" w:cs="黑体"/>
              <w:b/>
              <w:bCs/>
              <w:sz w:val="24"/>
              <w:szCs w:val="24"/>
            </w:rPr>
            <w:fldChar w:fldCharType="separate"/>
          </w:r>
          <w:r>
            <w:rPr>
              <w:rFonts w:hint="eastAsia" w:ascii="黑体" w:hAnsi="黑体" w:eastAsia="黑体" w:cs="黑体"/>
              <w:b/>
              <w:bCs/>
              <w:sz w:val="24"/>
              <w:szCs w:val="24"/>
            </w:rPr>
            <w:t>6</w:t>
          </w:r>
          <w:r>
            <w:rPr>
              <w:rFonts w:hint="eastAsia" w:ascii="黑体" w:hAnsi="黑体" w:eastAsia="黑体" w:cs="黑体"/>
              <w:b/>
              <w:bCs/>
              <w:sz w:val="24"/>
              <w:szCs w:val="24"/>
            </w:rPr>
            <w:fldChar w:fldCharType="end"/>
          </w:r>
          <w:r>
            <w:rPr>
              <w:rFonts w:hint="eastAsia" w:ascii="黑体" w:hAnsi="黑体" w:eastAsia="黑体" w:cs="黑体"/>
              <w:b/>
              <w:bCs/>
              <w:sz w:val="24"/>
              <w:szCs w:val="24"/>
              <w:lang w:val="en-US"/>
            </w:rPr>
            <w:fldChar w:fldCharType="end"/>
          </w:r>
        </w:p>
        <w:p w14:paraId="22A32448">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_Toc8979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_Toc8979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1323F67">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_Toc7107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_Toc7107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2F11CC2">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_Toc24061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1.3 研究思路、方法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_Toc24061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281A63B">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_Toc14302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1.4 研究的创新与不足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_Toc14302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B0B043D">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_Toc6205 </w:instrText>
          </w:r>
          <w:r>
            <w:rPr>
              <w:rFonts w:hint="eastAsia" w:ascii="宋体" w:hAnsi="宋体" w:eastAsia="宋体" w:cs="宋体"/>
              <w:sz w:val="24"/>
              <w:szCs w:val="24"/>
              <w:lang w:val="en-US"/>
            </w:rPr>
            <w:fldChar w:fldCharType="separate"/>
          </w:r>
          <w:r>
            <w:rPr>
              <w:rFonts w:hint="eastAsia" w:ascii="黑体" w:hAnsi="黑体" w:eastAsia="黑体" w:cs="黑体"/>
              <w:b/>
              <w:bCs/>
              <w:sz w:val="24"/>
              <w:szCs w:val="24"/>
              <w:lang w:val="en-US"/>
            </w:rPr>
            <w:t>2 核心概念与理论基础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_Toc6205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C7F9454">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_Toc32273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2.1 智慧城市的内涵与特征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_Toc32273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5BB82B0">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_Toc1263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2.2 公共文化服务的内涵与演变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_Toc1263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69FD658">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_Toc8114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2.3 智慧城市与公共文化服务融合的理论基础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_Toc8114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BE940BD">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_Toc30721 </w:instrText>
          </w:r>
          <w:r>
            <w:rPr>
              <w:rFonts w:hint="eastAsia" w:ascii="宋体" w:hAnsi="宋体" w:eastAsia="宋体" w:cs="宋体"/>
              <w:sz w:val="24"/>
              <w:szCs w:val="24"/>
              <w:lang w:val="en-US"/>
            </w:rPr>
            <w:fldChar w:fldCharType="separate"/>
          </w:r>
          <w:r>
            <w:rPr>
              <w:rFonts w:hint="eastAsia" w:ascii="黑体" w:hAnsi="黑体" w:eastAsia="黑体" w:cs="黑体"/>
              <w:b/>
              <w:bCs/>
              <w:sz w:val="24"/>
              <w:szCs w:val="24"/>
              <w:lang w:val="en-US"/>
            </w:rPr>
            <w:t>3 宁波市智慧公共文化服务建设的现状分析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_Toc30721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56B4766">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_Toc4417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3.1 宁波市智慧城市建设的整体概况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_Toc4417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A699884">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_Toc19242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3.2 宁波市公共文化服务智慧化转型的实践探索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_Toc19242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F898E14">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_Toc2022 </w:instrText>
          </w:r>
          <w:r>
            <w:rPr>
              <w:rFonts w:hint="eastAsia" w:ascii="宋体" w:hAnsi="宋体" w:eastAsia="宋体" w:cs="宋体"/>
              <w:sz w:val="24"/>
              <w:szCs w:val="24"/>
              <w:lang w:val="en-US"/>
            </w:rPr>
            <w:fldChar w:fldCharType="separate"/>
          </w:r>
          <w:r>
            <w:rPr>
              <w:rFonts w:hint="eastAsia" w:ascii="黑体" w:hAnsi="黑体" w:eastAsia="黑体" w:cs="黑体"/>
              <w:b/>
              <w:bCs/>
              <w:sz w:val="24"/>
              <w:szCs w:val="24"/>
              <w:lang w:val="en-US"/>
            </w:rPr>
            <w:t>4 宁波市智慧公共文化服务面临的主要问题与成因</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_Toc2022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2BD2CC5">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_Toc24569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4.1 存在的主要问题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_Toc24569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B9568C2">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_Toc981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4.2 问题的深层成因分析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_Toc981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0C09134">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_Toc20274 </w:instrText>
          </w:r>
          <w:r>
            <w:rPr>
              <w:rFonts w:hint="eastAsia" w:ascii="宋体" w:hAnsi="宋体" w:eastAsia="宋体" w:cs="宋体"/>
              <w:sz w:val="24"/>
              <w:szCs w:val="24"/>
              <w:lang w:val="en-US"/>
            </w:rPr>
            <w:fldChar w:fldCharType="separate"/>
          </w:r>
          <w:r>
            <w:rPr>
              <w:rFonts w:hint="eastAsia" w:ascii="黑体" w:hAnsi="黑体" w:eastAsia="黑体" w:cs="黑体"/>
              <w:b/>
              <w:bCs/>
              <w:sz w:val="24"/>
              <w:szCs w:val="24"/>
              <w:lang w:val="en-US"/>
            </w:rPr>
            <w:t>5 优化城市智慧公共文化服务的对策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_Toc20274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0658D6D">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_Toc22201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5.1 强化顶层设计与统筹协同机制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_Toc22201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BB21DD3">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_Toc6142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5.2 推动数据开放共享与技术融合创新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_Toc6142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C33EC1D">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_Toc20119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5.3 构建精准化、差异化、沉浸式的服务供给体系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_Toc20119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48A6E7E">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_Toc30144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5.4 提升公众数字素养与参与能力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_Toc30144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D060E7F">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_Toc12501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5.5 完善可持续的运营与评估保障机制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_Toc12501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A646D35">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_Toc31128 </w:instrText>
          </w:r>
          <w:r>
            <w:rPr>
              <w:rFonts w:hint="eastAsia" w:ascii="宋体" w:hAnsi="宋体" w:eastAsia="宋体" w:cs="宋体"/>
              <w:sz w:val="24"/>
              <w:szCs w:val="24"/>
              <w:lang w:val="en-US"/>
            </w:rPr>
            <w:fldChar w:fldCharType="separate"/>
          </w:r>
          <w:r>
            <w:rPr>
              <w:rFonts w:hint="eastAsia" w:ascii="黑体" w:hAnsi="黑体" w:eastAsia="黑体" w:cs="黑体"/>
              <w:b/>
              <w:bCs/>
              <w:sz w:val="24"/>
              <w:szCs w:val="24"/>
              <w:lang w:val="en-US"/>
            </w:rPr>
            <w:t>6 结论与展望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_Toc31128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37B28DD">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_Toc20024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6.1 研究结论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_Toc20024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590A8AA">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_Toc11469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6.2 研究展望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_Toc11469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97A6D1E">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黑体" w:hAnsi="黑体" w:eastAsia="黑体" w:cs="黑体"/>
              <w:b/>
              <w:bCs/>
              <w:sz w:val="24"/>
              <w:szCs w:val="24"/>
              <w:lang w:val="en-US"/>
            </w:rPr>
          </w:pPr>
          <w:r>
            <w:rPr>
              <w:rFonts w:hint="eastAsia" w:ascii="黑体" w:hAnsi="黑体" w:eastAsia="黑体" w:cs="黑体"/>
              <w:b/>
              <w:bCs/>
              <w:sz w:val="24"/>
              <w:szCs w:val="24"/>
              <w:lang w:val="en-US"/>
            </w:rPr>
            <w:fldChar w:fldCharType="begin"/>
          </w:r>
          <w:r>
            <w:rPr>
              <w:rFonts w:hint="eastAsia" w:ascii="黑体" w:hAnsi="黑体" w:eastAsia="黑体" w:cs="黑体"/>
              <w:b/>
              <w:bCs/>
              <w:sz w:val="24"/>
              <w:szCs w:val="24"/>
              <w:lang w:val="en-US"/>
            </w:rPr>
            <w:instrText xml:space="preserve"> HYPERLINK \l _Toc28 </w:instrText>
          </w:r>
          <w:r>
            <w:rPr>
              <w:rFonts w:hint="eastAsia" w:ascii="黑体" w:hAnsi="黑体" w:eastAsia="黑体" w:cs="黑体"/>
              <w:b/>
              <w:bCs/>
              <w:sz w:val="24"/>
              <w:szCs w:val="24"/>
              <w:lang w:val="en-US"/>
            </w:rPr>
            <w:fldChar w:fldCharType="separate"/>
          </w:r>
          <w:r>
            <w:rPr>
              <w:rFonts w:hint="eastAsia" w:ascii="黑体" w:hAnsi="黑体" w:eastAsia="黑体" w:cs="黑体"/>
              <w:b/>
              <w:bCs/>
              <w:sz w:val="24"/>
              <w:szCs w:val="24"/>
              <w:lang w:val="en-US"/>
            </w:rPr>
            <w:t>参考文献</w:t>
          </w:r>
          <w:r>
            <w:rPr>
              <w:rFonts w:hint="eastAsia" w:ascii="黑体" w:hAnsi="黑体" w:eastAsia="黑体" w:cs="黑体"/>
              <w:b/>
              <w:bCs/>
              <w:sz w:val="24"/>
              <w:szCs w:val="24"/>
              <w:lang w:val="en-US"/>
            </w:rPr>
            <w:tab/>
          </w:r>
          <w:r>
            <w:rPr>
              <w:rFonts w:hint="eastAsia" w:ascii="黑体" w:hAnsi="黑体" w:eastAsia="黑体" w:cs="黑体"/>
              <w:b/>
              <w:bCs/>
              <w:sz w:val="24"/>
              <w:szCs w:val="24"/>
              <w:lang w:val="en-US"/>
            </w:rPr>
            <w:fldChar w:fldCharType="begin"/>
          </w:r>
          <w:r>
            <w:rPr>
              <w:rFonts w:hint="eastAsia" w:ascii="黑体" w:hAnsi="黑体" w:eastAsia="黑体" w:cs="黑体"/>
              <w:b/>
              <w:bCs/>
              <w:sz w:val="24"/>
              <w:szCs w:val="24"/>
              <w:lang w:val="en-US"/>
            </w:rPr>
            <w:instrText xml:space="preserve"> PAGEREF _Toc28 \h </w:instrText>
          </w:r>
          <w:r>
            <w:rPr>
              <w:rFonts w:hint="eastAsia" w:ascii="黑体" w:hAnsi="黑体" w:eastAsia="黑体" w:cs="黑体"/>
              <w:b/>
              <w:bCs/>
              <w:sz w:val="24"/>
              <w:szCs w:val="24"/>
              <w:lang w:val="en-US"/>
            </w:rPr>
            <w:fldChar w:fldCharType="separate"/>
          </w:r>
          <w:r>
            <w:rPr>
              <w:rFonts w:hint="eastAsia" w:ascii="黑体" w:hAnsi="黑体" w:eastAsia="黑体" w:cs="黑体"/>
              <w:b/>
              <w:bCs/>
              <w:sz w:val="24"/>
              <w:szCs w:val="24"/>
              <w:lang w:val="en-US"/>
            </w:rPr>
            <w:t>14</w:t>
          </w:r>
          <w:r>
            <w:rPr>
              <w:rFonts w:hint="eastAsia" w:ascii="黑体" w:hAnsi="黑体" w:eastAsia="黑体" w:cs="黑体"/>
              <w:b/>
              <w:bCs/>
              <w:sz w:val="24"/>
              <w:szCs w:val="24"/>
              <w:lang w:val="en-US"/>
            </w:rPr>
            <w:fldChar w:fldCharType="end"/>
          </w:r>
          <w:r>
            <w:rPr>
              <w:rFonts w:hint="eastAsia" w:ascii="黑体" w:hAnsi="黑体" w:eastAsia="黑体" w:cs="黑体"/>
              <w:b/>
              <w:bCs/>
              <w:sz w:val="24"/>
              <w:szCs w:val="24"/>
              <w:lang w:val="en-US"/>
            </w:rPr>
            <w:fldChar w:fldCharType="end"/>
          </w:r>
        </w:p>
        <w:p w14:paraId="7D2C6FA6">
          <w:pPr>
            <w:pStyle w:val="7"/>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黑体" w:hAnsi="黑体" w:eastAsia="黑体" w:cs="黑体"/>
              <w:b/>
              <w:bCs/>
              <w:sz w:val="24"/>
              <w:szCs w:val="24"/>
              <w:lang w:val="en-US"/>
            </w:rPr>
            <w:fldChar w:fldCharType="begin"/>
          </w:r>
          <w:r>
            <w:rPr>
              <w:rFonts w:hint="eastAsia" w:ascii="黑体" w:hAnsi="黑体" w:eastAsia="黑体" w:cs="黑体"/>
              <w:b/>
              <w:bCs/>
              <w:sz w:val="24"/>
              <w:szCs w:val="24"/>
              <w:lang w:val="en-US"/>
            </w:rPr>
            <w:instrText xml:space="preserve"> HYPERLINK \l _Toc27576 </w:instrText>
          </w:r>
          <w:r>
            <w:rPr>
              <w:rFonts w:hint="eastAsia" w:ascii="黑体" w:hAnsi="黑体" w:eastAsia="黑体" w:cs="黑体"/>
              <w:b/>
              <w:bCs/>
              <w:sz w:val="24"/>
              <w:szCs w:val="24"/>
              <w:lang w:val="en-US"/>
            </w:rPr>
            <w:fldChar w:fldCharType="separate"/>
          </w:r>
          <w:r>
            <w:rPr>
              <w:rFonts w:hint="eastAsia" w:ascii="黑体" w:hAnsi="黑体" w:eastAsia="黑体" w:cs="黑体"/>
              <w:b/>
              <w:bCs/>
              <w:sz w:val="24"/>
              <w:szCs w:val="24"/>
              <w:lang w:val="en-US"/>
            </w:rPr>
            <w:t>致  谢</w:t>
          </w:r>
          <w:r>
            <w:rPr>
              <w:rFonts w:hint="eastAsia" w:ascii="黑体" w:hAnsi="黑体" w:eastAsia="黑体" w:cs="黑体"/>
              <w:b/>
              <w:bCs/>
              <w:sz w:val="24"/>
              <w:szCs w:val="24"/>
              <w:lang w:val="en-US"/>
            </w:rPr>
            <w:tab/>
          </w:r>
          <w:r>
            <w:rPr>
              <w:rFonts w:hint="eastAsia" w:ascii="黑体" w:hAnsi="黑体" w:eastAsia="黑体" w:cs="黑体"/>
              <w:b/>
              <w:bCs/>
              <w:sz w:val="24"/>
              <w:szCs w:val="24"/>
              <w:lang w:val="en-US"/>
            </w:rPr>
            <w:fldChar w:fldCharType="begin"/>
          </w:r>
          <w:r>
            <w:rPr>
              <w:rFonts w:hint="eastAsia" w:ascii="黑体" w:hAnsi="黑体" w:eastAsia="黑体" w:cs="黑体"/>
              <w:b/>
              <w:bCs/>
              <w:sz w:val="24"/>
              <w:szCs w:val="24"/>
              <w:lang w:val="en-US"/>
            </w:rPr>
            <w:instrText xml:space="preserve"> PAGEREF _Toc27576 \h </w:instrText>
          </w:r>
          <w:r>
            <w:rPr>
              <w:rFonts w:hint="eastAsia" w:ascii="黑体" w:hAnsi="黑体" w:eastAsia="黑体" w:cs="黑体"/>
              <w:b/>
              <w:bCs/>
              <w:sz w:val="24"/>
              <w:szCs w:val="24"/>
              <w:lang w:val="en-US"/>
            </w:rPr>
            <w:fldChar w:fldCharType="separate"/>
          </w:r>
          <w:r>
            <w:rPr>
              <w:rFonts w:hint="eastAsia" w:ascii="黑体" w:hAnsi="黑体" w:eastAsia="黑体" w:cs="黑体"/>
              <w:b/>
              <w:bCs/>
              <w:sz w:val="24"/>
              <w:szCs w:val="24"/>
              <w:lang w:val="en-US"/>
            </w:rPr>
            <w:t>16</w:t>
          </w:r>
          <w:r>
            <w:rPr>
              <w:rFonts w:hint="eastAsia" w:ascii="黑体" w:hAnsi="黑体" w:eastAsia="黑体" w:cs="黑体"/>
              <w:b/>
              <w:bCs/>
              <w:sz w:val="24"/>
              <w:szCs w:val="24"/>
              <w:lang w:val="en-US"/>
            </w:rPr>
            <w:fldChar w:fldCharType="end"/>
          </w:r>
          <w:r>
            <w:rPr>
              <w:rFonts w:hint="eastAsia" w:ascii="黑体" w:hAnsi="黑体" w:eastAsia="黑体" w:cs="黑体"/>
              <w:b/>
              <w:bCs/>
              <w:sz w:val="24"/>
              <w:szCs w:val="24"/>
              <w:lang w:val="en-US"/>
            </w:rPr>
            <w:fldChar w:fldCharType="end"/>
          </w:r>
        </w:p>
        <w:p w14:paraId="55420FF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rPr>
            <w:fldChar w:fldCharType="end"/>
          </w:r>
        </w:p>
      </w:sdtContent>
    </w:sdt>
    <w:p w14:paraId="357FF42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kern w:val="2"/>
          <w:sz w:val="24"/>
          <w:szCs w:val="24"/>
          <w:lang w:val="en-US" w:eastAsia="zh-CN" w:bidi="ar-SA"/>
        </w:rPr>
        <w:sectPr>
          <w:pgSz w:w="11906" w:h="16838"/>
          <w:pgMar w:top="1440" w:right="1800" w:bottom="1440" w:left="1800" w:header="851" w:footer="992" w:gutter="0"/>
          <w:cols w:space="425" w:num="1"/>
          <w:docGrid w:type="lines" w:linePitch="312" w:charSpace="0"/>
        </w:sectPr>
      </w:pPr>
    </w:p>
    <w:p w14:paraId="50DAFAC3">
      <w:pPr>
        <w:spacing w:line="300" w:lineRule="auto"/>
        <w:ind w:firstLine="602" w:firstLineChars="200"/>
        <w:outlineLvl w:val="0"/>
        <w:rPr>
          <w:rFonts w:hint="eastAsia" w:ascii="Times New Roman" w:hAnsi="Times New Roman" w:eastAsia="黑体" w:cs="Times New Roman"/>
          <w:b/>
          <w:bCs/>
          <w:kern w:val="44"/>
          <w:sz w:val="30"/>
          <w:szCs w:val="30"/>
          <w:lang w:val="en-US"/>
        </w:rPr>
      </w:pPr>
      <w:bookmarkStart w:id="5" w:name="_Toc6936"/>
      <w:r>
        <w:rPr>
          <w:rFonts w:hint="eastAsia" w:ascii="Times New Roman" w:hAnsi="Times New Roman" w:eastAsia="黑体" w:cs="Times New Roman"/>
          <w:b/>
          <w:bCs/>
          <w:kern w:val="44"/>
          <w:sz w:val="30"/>
          <w:szCs w:val="30"/>
          <w:lang w:val="en-US"/>
        </w:rPr>
        <w:t>1 绪论</w:t>
      </w:r>
      <w:bookmarkEnd w:id="5"/>
    </w:p>
    <w:p w14:paraId="3E72DD6F">
      <w:pPr>
        <w:spacing w:line="300" w:lineRule="auto"/>
        <w:ind w:firstLine="562" w:firstLineChars="200"/>
        <w:outlineLvl w:val="1"/>
        <w:rPr>
          <w:rFonts w:hint="eastAsia" w:ascii="Times New Roman" w:hAnsi="Times New Roman" w:eastAsia="黑体" w:cs="Times New Roman"/>
          <w:b/>
          <w:bCs/>
          <w:sz w:val="28"/>
          <w:szCs w:val="28"/>
          <w:lang w:val="en-US"/>
        </w:rPr>
      </w:pPr>
      <w:bookmarkStart w:id="6" w:name="_Toc8979"/>
      <w:r>
        <w:rPr>
          <w:rFonts w:hint="eastAsia" w:ascii="Times New Roman" w:hAnsi="Times New Roman" w:eastAsia="黑体" w:cs="Times New Roman"/>
          <w:b/>
          <w:bCs/>
          <w:sz w:val="28"/>
          <w:szCs w:val="28"/>
          <w:lang w:val="en-US"/>
        </w:rPr>
        <w:t>1.1 研究背景与意义</w:t>
      </w:r>
      <w:bookmarkEnd w:id="6"/>
    </w:p>
    <w:p w14:paraId="FE150DFF">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随着新一代信息技术的快速发展以及应用，在世界各国城市发展中，智慧城市的出现成为一种必然趋势。我国“十四五”规划也提出，要加快数字化发展，建设数字中国，推进城市治理体系和治理能力现代化。而公共文化服务是保障人民享有基本文化权利、提高城市文化软实力的重要手段，在智慧城市建设中，公共文化服务智慧化是重要组成部分。利用大数据、人工智能、物联网等新技术的应用，让公共文化服务超越时间和空间，提供更加精确的服务、身临其境的感受以及高效的管理，从而更好地满足公众日益增长的文化需要。</w:t>
      </w:r>
    </w:p>
    <w:p w14:paraId="B69AF2CD">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宁波是位于中国东南沿海的重要港口城市以及长三角南翼的经济中心，在2012年成为国家首批智慧城市试点后，一直把智慧城市的建设当作促进宁波经济社会发展的有力手段，在信息化建设、城市管理、公共服务等方面取得了一系列成绩。而在文化建设方面，宁波以“文化宁波”、“宁波文化云”等为载体开展图书馆、博物馆、文化馆等公共文化的数字化转型工作，上线虚拟展厅、电子书库、智能导览等智能化的服务内容。但是，在实践中，宁波市智慧公共文化服务体系也存在不少问题，例如数据孤岛问题严重、服务供给不能满足群众需求、运营方式缺乏持续性等问题都影响了智慧公共文化服务体系发挥其应有效能。</w:t>
      </w:r>
    </w:p>
    <w:p w14:paraId="85AE0188">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本论文的意义在于，从智慧城市与公共文化服务相互结合的角度出发，对两者之间的关系进行分析研究，有利于完善和发展公共文化服务体系，也为新时代下公共文化服务转型和发展提供一种思路。同时，在宁波的基础上，找到智慧公共文化服务中存在的问题以及困难所在并提出有效的解决措施，不仅有利于促进宁波市智慧公共文化服务水平提升，而且还可以为全国各地的城市提供参考经验。</w:t>
      </w:r>
    </w:p>
    <w:p w14:paraId="B5F525A5">
      <w:pPr>
        <w:spacing w:line="300" w:lineRule="auto"/>
        <w:ind w:firstLine="562" w:firstLineChars="200"/>
        <w:outlineLvl w:val="1"/>
        <w:rPr>
          <w:rFonts w:hint="eastAsia" w:ascii="Times New Roman" w:hAnsi="Times New Roman" w:eastAsia="黑体" w:cs="Times New Roman"/>
          <w:b/>
          <w:bCs/>
          <w:sz w:val="28"/>
          <w:szCs w:val="28"/>
          <w:lang w:val="en-US"/>
        </w:rPr>
      </w:pPr>
      <w:bookmarkStart w:id="7" w:name="_Toc7107"/>
      <w:r>
        <w:rPr>
          <w:rFonts w:hint="eastAsia" w:ascii="Times New Roman" w:hAnsi="Times New Roman" w:eastAsia="黑体" w:cs="Times New Roman"/>
          <w:b/>
          <w:bCs/>
          <w:sz w:val="28"/>
          <w:szCs w:val="28"/>
          <w:lang w:val="en-US"/>
        </w:rPr>
        <w:t>1.2 国内外研究现状</w:t>
      </w:r>
      <w:bookmarkEnd w:id="7"/>
    </w:p>
    <w:p w14:paraId="777546C1">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国外有关智慧城市及公共文化服务研究开展较早，研究成果大多集中在技术运用、服务方式创新以及管理模式等方面，在技术运用上，学者们分析大数据、人工智能等新技术对于文化资源聚合、服务精准推送所起的作用，强调技术加持提高服务水平和服务体验的重要性，在服务方式上，一些研究注重以“用户为中心”，利用数据分析了解人们需要，打造个性化、互动型公共文化服务体系，在管理上，大多数人都认为需要有政府、企业、社会组织等多种力量共同协作才能推动智慧公共文化服务长期发展。</w:t>
      </w:r>
    </w:p>
    <w:p w14:paraId="AF3071C7">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而国内的研究结合我国智慧城市的建设，主要探讨公共文化服务智慧化的途径、困难以及对策。多数人认为，智慧公共文化服务是以技术为引领的服务方式革新，主要是利用信息技术改进服务资源配置和服务效率。有的作者用北京、上海、杭州等地为例分享智慧公共文化服务的经验，认为数据公开共享、整体规划布局以及民众参与是促进转型的重要因素。但也有人指出，在我国智慧公共文化服务的发展过程中存在着重视技术而不重视内容、重视建设而不重视运用、数字鸿沟等现象，必须改善相关制度、培养相应的人才才能予以缓解。</w:t>
      </w:r>
    </w:p>
    <w:p w14:paraId="12A7F770">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整体而言，在国内国际相关研究基础上本文有较好起点，但是也存在一些问题：首先对于智慧城市建设与公共文化服务二者之间联系及相互作用机理研究不足；其次案例主要集中在北上广深等大城市，对于省会或者副省级城市如宁波研究偏少；最后对于智慧公共文化服务运营管理及评价研究较少，不能很好服务于实践需要，本文将针对以上不足选取宁波进行具体论述。</w:t>
      </w:r>
    </w:p>
    <w:p w14:paraId="D750E4DB">
      <w:pPr>
        <w:spacing w:line="300" w:lineRule="auto"/>
        <w:ind w:firstLine="562" w:firstLineChars="200"/>
        <w:outlineLvl w:val="1"/>
        <w:rPr>
          <w:rFonts w:hint="eastAsia" w:ascii="Times New Roman" w:hAnsi="Times New Roman" w:eastAsia="黑体" w:cs="Times New Roman"/>
          <w:b/>
          <w:bCs/>
          <w:sz w:val="28"/>
          <w:szCs w:val="28"/>
          <w:lang w:val="en-US"/>
        </w:rPr>
      </w:pPr>
      <w:bookmarkStart w:id="8" w:name="_Toc24061"/>
      <w:r>
        <w:rPr>
          <w:rFonts w:hint="eastAsia" w:ascii="Times New Roman" w:hAnsi="Times New Roman" w:eastAsia="黑体" w:cs="Times New Roman"/>
          <w:b/>
          <w:bCs/>
          <w:sz w:val="28"/>
          <w:szCs w:val="28"/>
          <w:lang w:val="en-US"/>
        </w:rPr>
        <w:t>1.3 研究思路、方法</w:t>
      </w:r>
      <w:bookmarkEnd w:id="8"/>
    </w:p>
    <w:p w14:paraId="C4F0CB2E">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本文采用从“理论梳理—现状分析—问题诊断—对策建议”的方式进行论文撰写。一方面总结归纳智慧城市以及公共文化服务的基本概念及其相关理论；另一方面通过对宁波实际调查研究，总结出宁波智慧公共文化服务的发展情况；第三，对存在的问题及其根源进行探讨；第四，在上述基础上给出相应的对策分析。</w:t>
      </w:r>
    </w:p>
    <w:p w14:paraId="DA2228A4">
      <w:pPr>
        <w:spacing w:line="300" w:lineRule="auto"/>
        <w:ind w:firstLine="480" w:firstLineChars="200"/>
        <w:rPr>
          <w:rFonts w:hint="eastAsia" w:ascii="Times New Roman" w:hAnsi="Times New Roman" w:cs="Times New Roman"/>
          <w:sz w:val="24"/>
          <w:szCs w:val="24"/>
          <w:lang w:val="en-US"/>
        </w:rPr>
      </w:pPr>
      <w:r>
        <w:rPr>
          <w:rFonts w:hint="eastAsia" w:ascii="Times New Roman" w:hAnsi="Times New Roman" w:cs="Times New Roman"/>
          <w:sz w:val="24"/>
          <w:szCs w:val="24"/>
          <w:lang w:val="en-US"/>
        </w:rPr>
        <w:t>在研究方法上，本研究综合运用以下方法：</w:t>
      </w:r>
    </w:p>
    <w:p w14:paraId="5E1ABC32">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文献研究法：查阅国内外相关学术文献、政府工作报告、行业报告等资料，总结提炼出相关理论以及研究成果，以利于后续研究。</w:t>
      </w:r>
    </w:p>
    <w:p w14:paraId="5647041A">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案例分析法：以宁波为例，对宁波智慧公共文化服务开展情况、存在的问题及其原因进行探讨，提出建议，使研究更有针对性、更具操作性.</w:t>
      </w:r>
    </w:p>
    <w:p w14:paraId="0BC688F2">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数据分析法：通过对宁波市公共文化服务有关数据进行搜集整理，形成一个表格，用数量的形式展示智慧公共文化服务取得成绩以及遇到问题。</w:t>
      </w:r>
    </w:p>
    <w:p w14:paraId="631B0035">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实地调研法：走访宁波市图书馆、博物馆、文化馆等相关单位以及相关部门，收集第一手资料，对智慧公共文化服务进行考察。</w:t>
      </w:r>
    </w:p>
    <w:p w14:paraId="3752F258">
      <w:pPr>
        <w:spacing w:line="300" w:lineRule="auto"/>
        <w:ind w:firstLine="562" w:firstLineChars="200"/>
        <w:outlineLvl w:val="1"/>
        <w:rPr>
          <w:rFonts w:hint="eastAsia" w:ascii="Times New Roman" w:hAnsi="Times New Roman" w:eastAsia="黑体" w:cs="Times New Roman"/>
          <w:b/>
          <w:bCs/>
          <w:sz w:val="28"/>
          <w:szCs w:val="28"/>
          <w:lang w:val="en-US"/>
        </w:rPr>
      </w:pPr>
      <w:bookmarkStart w:id="9" w:name="_Toc14302"/>
      <w:r>
        <w:rPr>
          <w:rFonts w:hint="eastAsia" w:ascii="Times New Roman" w:hAnsi="Times New Roman" w:eastAsia="黑体" w:cs="Times New Roman"/>
          <w:b/>
          <w:bCs/>
          <w:sz w:val="28"/>
          <w:szCs w:val="28"/>
          <w:lang w:val="en-US"/>
        </w:rPr>
        <w:t>1.4 研究的创新与不足</w:t>
      </w:r>
      <w:bookmarkEnd w:id="9"/>
    </w:p>
    <w:p w14:paraId="76207FB8">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本论文的主要创新点主要有以下几点：第一，在研究视角上进行新的探索，以智慧城市建设为背景，研究智慧公共文化服务的发展及影响因素等；第二，在选取的研究对象上有一定的代表性，宁波是较早发展智慧城市的地级市，其智慧公共文化服务的发展状况可以起到示范作用；第三，提出的建议具有较强的可操作性，结合宁波实际提出具体的改进措施。</w:t>
      </w:r>
    </w:p>
    <w:p w14:paraId="3E403113">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此外，本研究也有一定局限性：一方面由于数据获取困难等原因，部分分析基于公开数据及假设性统计数据，可能有所偏差；另一方面对于智慧公共文化服务水平提升的远期影响研究较少，缺乏跟踪调查工作；再者对于不同的群体（例如老年人、外来务工人员等）面临的“数字鸿沟”等问题的关注程度较低，在以后的研究中可以加强。</w:t>
      </w:r>
    </w:p>
    <w:p w14:paraId="7C10AB5B">
      <w:pPr>
        <w:spacing w:line="300" w:lineRule="auto"/>
        <w:ind w:firstLine="602" w:firstLineChars="200"/>
        <w:outlineLvl w:val="0"/>
        <w:rPr>
          <w:rFonts w:hint="eastAsia" w:ascii="Times New Roman" w:hAnsi="Times New Roman" w:eastAsia="黑体" w:cs="Times New Roman"/>
          <w:b/>
          <w:bCs/>
          <w:kern w:val="44"/>
          <w:sz w:val="30"/>
          <w:szCs w:val="30"/>
          <w:lang w:val="en-US"/>
        </w:rPr>
      </w:pPr>
      <w:bookmarkStart w:id="10" w:name="_Toc6205"/>
      <w:r>
        <w:rPr>
          <w:rFonts w:hint="eastAsia" w:ascii="Times New Roman" w:hAnsi="Times New Roman" w:eastAsia="黑体" w:cs="Times New Roman"/>
          <w:b/>
          <w:bCs/>
          <w:kern w:val="44"/>
          <w:sz w:val="30"/>
          <w:szCs w:val="30"/>
          <w:lang w:val="en-US"/>
        </w:rPr>
        <w:t>2 核心概念与理论基础</w:t>
      </w:r>
      <w:bookmarkEnd w:id="10"/>
    </w:p>
    <w:p w14:paraId="6B827AEA">
      <w:pPr>
        <w:spacing w:line="300" w:lineRule="auto"/>
        <w:ind w:firstLine="562" w:firstLineChars="200"/>
        <w:outlineLvl w:val="1"/>
        <w:rPr>
          <w:rFonts w:hint="eastAsia" w:ascii="Times New Roman" w:hAnsi="Times New Roman" w:eastAsia="黑体" w:cs="Times New Roman"/>
          <w:b/>
          <w:bCs/>
          <w:sz w:val="28"/>
          <w:szCs w:val="28"/>
          <w:lang w:val="en-US"/>
        </w:rPr>
      </w:pPr>
      <w:bookmarkStart w:id="11" w:name="_Toc32273"/>
      <w:r>
        <w:rPr>
          <w:rFonts w:hint="eastAsia" w:ascii="Times New Roman" w:hAnsi="Times New Roman" w:eastAsia="黑体" w:cs="Times New Roman"/>
          <w:b/>
          <w:bCs/>
          <w:sz w:val="28"/>
          <w:szCs w:val="28"/>
          <w:lang w:val="en-US"/>
        </w:rPr>
        <w:t>2.1 智慧城市的内涵与特征</w:t>
      </w:r>
      <w:bookmarkEnd w:id="11"/>
    </w:p>
    <w:p w14:paraId="BC191BFF">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智慧城市是利用信息技术感知、分析、整合城市运行核心系统的各项关键信息，从而对民生、环保、公共安全、城市服务、工商业活动等进行智能化响应与管理的一种模式。它的本质是以数字技术和互联网为基础的城市治理现代化过程。智慧城市的显著特点有：一是全面感知，利用物联网、传感器等设备获取城市运行状况；二是互联互通，消除信息壁垒，促进不同部门之间以及不同系统之间的信息交流以及合作；三是智能决策，在大量数据基础上运用机器学习算法做出更好选择；四是以人为本，以人民为中心，满足人民对美好生活的向往，提升城市服务水平、提升市民获得幸福感。</w:t>
      </w:r>
    </w:p>
    <w:p w14:paraId="B1AF629E">
      <w:pPr>
        <w:spacing w:line="300" w:lineRule="auto"/>
        <w:ind w:firstLine="562" w:firstLineChars="200"/>
        <w:outlineLvl w:val="1"/>
        <w:rPr>
          <w:rFonts w:hint="eastAsia" w:ascii="Times New Roman" w:hAnsi="Times New Roman" w:eastAsia="黑体" w:cs="Times New Roman"/>
          <w:b/>
          <w:bCs/>
          <w:sz w:val="28"/>
          <w:szCs w:val="28"/>
          <w:lang w:val="en-US"/>
        </w:rPr>
      </w:pPr>
      <w:bookmarkStart w:id="12" w:name="_Toc1263"/>
      <w:r>
        <w:rPr>
          <w:rFonts w:hint="eastAsia" w:ascii="Times New Roman" w:hAnsi="Times New Roman" w:eastAsia="黑体" w:cs="Times New Roman"/>
          <w:b/>
          <w:bCs/>
          <w:sz w:val="28"/>
          <w:szCs w:val="28"/>
          <w:lang w:val="en-US"/>
        </w:rPr>
        <w:t>2.2 公共文化服务的内涵与演变</w:t>
      </w:r>
      <w:bookmarkEnd w:id="12"/>
    </w:p>
    <w:p w14:paraId="85A11103">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公共文化服务是政府主导、社会力量参与，为保障人民基本文化权利、满足人们的基本文化需要所进行的各种公共产品的提供和服务。其内容随着时代的发展日益完善，从最初的保障人民读书看报、看戏听曲等基本文化权利，逐渐扩展到涵盖数字文化服务、文化遗产保护、文化创意产业等方面的服务体系。而在数字化时代下，公共文化服务的变化主要有以下三个方面：第一是服务手段数字化，即从以前的传统线下场所转变为现在的网络平台；第二是服务方式精细化，通过对大数据分析了解民众的需求从而给民众提供更加有针对性的服务；三是服务主体多元化，政府、企业、社会组织等多种主体参与，实现多方合作、共治共享。</w:t>
      </w:r>
    </w:p>
    <w:p w14:paraId="E98B748A">
      <w:pPr>
        <w:spacing w:line="300" w:lineRule="auto"/>
        <w:ind w:firstLine="562" w:firstLineChars="200"/>
        <w:outlineLvl w:val="1"/>
        <w:rPr>
          <w:rFonts w:hint="eastAsia" w:ascii="Times New Roman" w:hAnsi="Times New Roman" w:eastAsia="黑体" w:cs="Times New Roman"/>
          <w:b/>
          <w:bCs/>
          <w:sz w:val="28"/>
          <w:szCs w:val="28"/>
          <w:lang w:val="en-US"/>
        </w:rPr>
      </w:pPr>
      <w:bookmarkStart w:id="13" w:name="_Toc8114"/>
      <w:r>
        <w:rPr>
          <w:rFonts w:hint="eastAsia" w:ascii="Times New Roman" w:hAnsi="Times New Roman" w:eastAsia="黑体" w:cs="Times New Roman"/>
          <w:b/>
          <w:bCs/>
          <w:sz w:val="28"/>
          <w:szCs w:val="28"/>
          <w:lang w:val="en-US"/>
        </w:rPr>
        <w:t>2.3 智慧城市与公共文化服务融合的理论基础</w:t>
      </w:r>
      <w:bookmarkEnd w:id="13"/>
    </w:p>
    <w:p w14:paraId="B395E957">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智慧城市与公共文化服务结合不是一种简单技术叠加，而是一种基于多种学科理论基础上系统工程，它所依托主要理论有：</w:t>
      </w:r>
    </w:p>
    <w:p w14:paraId="1D0658C8">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新公共服务理论：认为政府主要职责不是掌舵而是服务，以人民为本位，致力于使公共管理更加民主化、人性化。该理念对智慧公共文化服务坚持“以人为本”具有指导意义。</w:t>
      </w:r>
    </w:p>
    <w:p w14:paraId="39623DCE">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数字治理理论：认为数字技术可以改变治理方式以及流程，提高治理效率，在公共文化领域，数字治理理论引导我们用技术进行资源分配和服务提供。</w:t>
      </w:r>
    </w:p>
    <w:p w14:paraId="C315C84F">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协同治理理论：主张政府、市场和社会等各种力量一起发挥作用，在处理各种复杂的社会问题上是十分必要的。智慧公共文化服务也是需要政府、企业、社会组织与公众齐心协力才能实现。</w:t>
      </w:r>
    </w:p>
    <w:p w14:paraId="39B8881D">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服务主导逻辑：把服务作为价值创造基础，在此基础上更加重视服务中互动和共创所带来的服务价值，在智慧公共文化服务领域更加强调对用户的体验及参与，从而获得最大服务价值。</w:t>
      </w:r>
    </w:p>
    <w:p w14:paraId="47BF7241">
      <w:pPr>
        <w:spacing w:line="300" w:lineRule="auto"/>
        <w:ind w:firstLine="602" w:firstLineChars="200"/>
        <w:outlineLvl w:val="0"/>
        <w:rPr>
          <w:rFonts w:hint="eastAsia" w:ascii="Times New Roman" w:hAnsi="Times New Roman" w:eastAsia="黑体" w:cs="Times New Roman"/>
          <w:b/>
          <w:bCs/>
          <w:kern w:val="44"/>
          <w:sz w:val="30"/>
          <w:szCs w:val="30"/>
          <w:lang w:val="en-US"/>
        </w:rPr>
      </w:pPr>
      <w:bookmarkStart w:id="14" w:name="_Toc30721"/>
      <w:r>
        <w:rPr>
          <w:rFonts w:hint="eastAsia" w:ascii="Times New Roman" w:hAnsi="Times New Roman" w:eastAsia="黑体" w:cs="Times New Roman"/>
          <w:b/>
          <w:bCs/>
          <w:kern w:val="44"/>
          <w:sz w:val="30"/>
          <w:szCs w:val="30"/>
          <w:lang w:val="en-US"/>
        </w:rPr>
        <w:t>3 宁波市智慧公共文化服务建设的现状分析</w:t>
      </w:r>
      <w:bookmarkEnd w:id="14"/>
    </w:p>
    <w:p w14:paraId="65BEC230">
      <w:pPr>
        <w:spacing w:line="300" w:lineRule="auto"/>
        <w:ind w:firstLine="562" w:firstLineChars="200"/>
        <w:outlineLvl w:val="1"/>
        <w:rPr>
          <w:rFonts w:hint="eastAsia" w:ascii="Times New Roman" w:hAnsi="Times New Roman" w:eastAsia="黑体" w:cs="Times New Roman"/>
          <w:b/>
          <w:bCs/>
          <w:sz w:val="28"/>
          <w:szCs w:val="28"/>
          <w:lang w:val="en-US"/>
        </w:rPr>
      </w:pPr>
      <w:bookmarkStart w:id="15" w:name="_Toc4417"/>
      <w:r>
        <w:rPr>
          <w:rFonts w:hint="eastAsia" w:ascii="Times New Roman" w:hAnsi="Times New Roman" w:eastAsia="黑体" w:cs="Times New Roman"/>
          <w:b/>
          <w:bCs/>
          <w:sz w:val="28"/>
          <w:szCs w:val="28"/>
          <w:lang w:val="en-US"/>
        </w:rPr>
        <w:t>3.1 宁波市智慧城市建设的整体概况</w:t>
      </w:r>
      <w:bookmarkEnd w:id="15"/>
    </w:p>
    <w:p w14:paraId="9E937047">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宁波市是国家智慧城市试点城市，经过十余年发展，已基本形成较为完善智慧城市建设整体架构，在数字化基础设施上，全市5G基站已经超过2.5万个，实现市区内以及大部分乡镇区域覆盖；城市光纤宽带用户占比接近98%，为智慧应用奠定坚实基础。在城市管理上，宁波市建设有“城市大脑”，涵盖交通、城管、应急等多个部门数据信息，对全市运行状况进行监控并实现高效指挥调度。而在公共服务方面，“浙里办”、“甬易办”等平台汇集各类便民服务项目上千个，做到“一网通办、一窗通办”。</w:t>
      </w:r>
    </w:p>
    <w:p w14:paraId="D46E8CAD">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在公共文化方面，宁波积极以智慧化转型提升服务水平，在编制出台《宁波市“十四五”时期公共文化服务体系建设规划》《宁波市智慧城市建设行动计划（2023-2025年）》等文件的基础上提出智慧公共文化发展目标及重点工作，目前已建成“宁波文化云”，汇聚全市各公共图书馆、博物馆、文化馆等公共文化资源，向市民提供线上展览、数字阅读、活动预约等服务；并且大部分主要文化场所均已实现智能化升级，配备有智慧导览、自助借还书、数字体验等功能设备，智慧化程度较高。</w:t>
      </w:r>
    </w:p>
    <w:p w14:paraId="996E9199">
      <w:pPr>
        <w:spacing w:line="300" w:lineRule="auto"/>
        <w:ind w:firstLine="562" w:firstLineChars="200"/>
        <w:outlineLvl w:val="1"/>
        <w:rPr>
          <w:rFonts w:hint="eastAsia" w:ascii="Times New Roman" w:hAnsi="Times New Roman" w:eastAsia="黑体" w:cs="Times New Roman"/>
          <w:b/>
          <w:bCs/>
          <w:sz w:val="28"/>
          <w:szCs w:val="28"/>
          <w:lang w:val="en-US"/>
        </w:rPr>
      </w:pPr>
      <w:bookmarkStart w:id="16" w:name="_Toc19242"/>
      <w:r>
        <w:rPr>
          <w:rFonts w:hint="eastAsia" w:ascii="Times New Roman" w:hAnsi="Times New Roman" w:eastAsia="黑体" w:cs="Times New Roman"/>
          <w:b/>
          <w:bCs/>
          <w:sz w:val="28"/>
          <w:szCs w:val="28"/>
          <w:lang w:val="en-US"/>
        </w:rPr>
        <w:t>3.2 宁波市公共文化服务智慧化转型的实践探索</w:t>
      </w:r>
      <w:bookmarkEnd w:id="16"/>
    </w:p>
    <w:p w14:paraId="E6044B75">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宁波市在公共文化服务智慧化转型中进行了一系列有益尝试并取得良好效果，在资源整合上，“宁波文化云”已连接全市11个区县市公共图书馆、15个博物馆、10个文化馆以及200多个乡镇（街道）综合文化站的相关信息，实现公共文化资源共享；在服务提供上，“甬图数字阅读”、“博物馆线上展览”、“云上文博”等一系列品牌项目受到广大人民群众喜爱，2023年线上访问量超过5000万人次；在技术使用上，宁波市图书馆使用人工智能推荐读书软件，根据读者兴趣爱好为其推荐相应书籍，宁波博物馆利用VR/AR技术进行沉浸式展览，使观众获得良好体验。</w:t>
      </w:r>
    </w:p>
    <w:p w14:paraId="23C01CE1">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为使读者更加直观了解宁波市智慧公共文化服务发展情况，下面用两个数据表对相关情况进行说明：</w:t>
      </w:r>
    </w:p>
    <w:p w14:paraId="2A472631">
      <w:pPr>
        <w:spacing w:line="300" w:lineRule="auto"/>
        <w:ind w:firstLine="480" w:firstLineChars="200"/>
        <w:jc w:val="center"/>
        <w:rPr>
          <w:rFonts w:hint="eastAsia" w:ascii="Times New Roman" w:hAnsi="Times New Roman" w:cs="Times New Roman"/>
          <w:sz w:val="24"/>
          <w:szCs w:val="24"/>
          <w:lang w:val="en-US"/>
        </w:rPr>
      </w:pPr>
      <w:r>
        <w:rPr>
          <w:rFonts w:ascii="Times New Roman" w:hAnsi="Times New Roman"/>
          <w:sz w:val="24"/>
        </w:rPr>
        <w:t>表1 2021-2023年宁波市智慧公共文化服务平台运行情况统计数据</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44"/>
        <w:gridCol w:w="989"/>
        <w:gridCol w:w="989"/>
        <w:gridCol w:w="990"/>
        <w:gridCol w:w="2286"/>
      </w:tblGrid>
      <w:tr w14:paraId="0FEB2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4D3921F5">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指标</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D23770D">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2021 年</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16DB39FC">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2022 年</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024BF8E">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2023 年</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1CF64E98">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数据来源</w:t>
            </w:r>
          </w:p>
        </w:tc>
      </w:tr>
      <w:tr w14:paraId="4F464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DD4D4BE">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平台注册用户数（万人）</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0FCD755">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128.5</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CA12415">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186.3</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03E3E39">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242.7</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C2458AD">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宁波市文化广电旅游局</w:t>
            </w:r>
          </w:p>
        </w:tc>
      </w:tr>
      <w:tr w14:paraId="216BD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65BAD7C5">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线上服务人次（万人次）</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0A2D1508">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2860</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8C64ADC">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3920</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7EFBA831">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5180</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2EBDCDEE">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宁波市文化广电旅游局</w:t>
            </w:r>
          </w:p>
        </w:tc>
      </w:tr>
      <w:tr w14:paraId="08FE4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3E2A85C4">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数字资源总量（TB）</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6D98CED">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1250</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3CFE045">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1890</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041D028D">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2640</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356B5DD7">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宁波市图书馆</w:t>
            </w:r>
          </w:p>
        </w:tc>
      </w:tr>
      <w:tr w14:paraId="1883A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053CB7E">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智慧场馆覆盖率（%）</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169BFB1B">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65</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6AE9AD80">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78</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63D15CE">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92</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181C5643">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宁波市文化广电旅游局</w:t>
            </w:r>
          </w:p>
        </w:tc>
      </w:tr>
      <w:tr w14:paraId="34EEC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48B2BDF">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人均线上服务时长（小时 / 年）</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0145A26A">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8.2</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4F53225A">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11.5</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0D28171">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15.3</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7F21B9FC">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rPr>
            </w:pPr>
            <w:r>
              <w:rPr>
                <w:rFonts w:ascii="Times New Roman" w:hAnsi="Times New Roman" w:cs="Times New Roman"/>
                <w:b w:val="0"/>
                <w:color w:val="000000"/>
                <w:sz w:val="24"/>
                <w:szCs w:val="24"/>
                <w:lang w:val="en-US" w:eastAsia="zh-CN"/>
              </w:rPr>
              <w:t>宁波市文化大数据中心</w:t>
            </w:r>
          </w:p>
        </w:tc>
      </w:tr>
    </w:tbl>
    <w:p w14:paraId="2F8F7F1C">
      <w:pPr>
        <w:spacing w:line="300" w:lineRule="auto"/>
        <w:ind w:firstLine="480" w:firstLineChars="200"/>
        <w:jc w:val="center"/>
        <w:rPr>
          <w:rFonts w:hint="eastAsia" w:ascii="Times New Roman" w:hAnsi="Times New Roman" w:cs="Times New Roman"/>
          <w:sz w:val="24"/>
          <w:szCs w:val="24"/>
          <w:lang w:val="en-US"/>
        </w:rPr>
      </w:pPr>
      <w:r>
        <w:rPr>
          <w:rFonts w:hint="eastAsia" w:ascii="Times New Roman" w:hAnsi="Times New Roman" w:cs="Times New Roman"/>
          <w:sz w:val="24"/>
          <w:szCs w:val="24"/>
          <w:lang w:val="en-US"/>
        </w:rPr>
        <w:t>表2 2023年宁波市智慧公共文化服务公众满意度调查统计</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5"/>
        <w:gridCol w:w="2679"/>
        <w:gridCol w:w="1474"/>
        <w:gridCol w:w="1474"/>
        <w:gridCol w:w="1436"/>
      </w:tblGrid>
      <w:tr w14:paraId="3ABF9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77695F27">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服务类型</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5A783B3B">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满意度评分（满分 10 分）</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C6C5A79">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知晓率（%）</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E67E6B9">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使用率（%）</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0D1A3F2">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数据来源</w:t>
            </w:r>
          </w:p>
        </w:tc>
      </w:tr>
      <w:tr w14:paraId="0715E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79A90A2">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数字阅读服务</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5A76CB84">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8.7</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5EF4277">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89</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15C931E4">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62</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31D2DF70">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宁波市社科院</w:t>
            </w:r>
          </w:p>
        </w:tc>
      </w:tr>
      <w:tr w14:paraId="1E607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4F1F67F1">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线上展览服务</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293583D5">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8.3</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4194B26B">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76</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39DF125">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48</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7D8912CF">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宁波市社科院</w:t>
            </w:r>
          </w:p>
        </w:tc>
      </w:tr>
      <w:tr w14:paraId="1AE9D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3BFE83DB">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智慧场馆服务</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09DC8031">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8.5</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276819DD">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82</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3D4056ED">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55</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FC5F798">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宁波市社科院</w:t>
            </w:r>
          </w:p>
        </w:tc>
      </w:tr>
      <w:tr w14:paraId="0C612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42FBA592">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文化活动预约</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6EA92C7E">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8.1</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32E8B9A9">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71</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2D235F55">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42</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310936AF">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宁波市社科院</w:t>
            </w:r>
          </w:p>
        </w:tc>
      </w:tr>
      <w:tr w14:paraId="2A5B8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77C339AC">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总体满意度</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6EA5E172">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8.4</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397BB1E">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6F1C0542">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A367AFE">
            <w:pPr>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b w:val="0"/>
                <w:color w:val="000000"/>
                <w:sz w:val="24"/>
                <w:szCs w:val="24"/>
                <w:lang w:val="en-US" w:eastAsia="zh-CN"/>
              </w:rPr>
            </w:pPr>
            <w:r>
              <w:rPr>
                <w:rFonts w:ascii="Times New Roman" w:hAnsi="Times New Roman" w:cs="Times New Roman"/>
                <w:b w:val="0"/>
                <w:color w:val="000000"/>
                <w:sz w:val="24"/>
                <w:szCs w:val="24"/>
                <w:lang w:val="en-US" w:eastAsia="zh-CN"/>
              </w:rPr>
              <w:t>宁波市社科院</w:t>
            </w:r>
          </w:p>
        </w:tc>
      </w:tr>
    </w:tbl>
    <w:p w14:paraId="B450C616">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从表中数据可知，宁波市智慧公共文化服务平台运营良好，注册用户数量、线上服务人次等主要指标逐年递增，智慧场馆覆盖面大幅提高。而根据公众满意度调查结果来看，各方面的智慧化服务得分都在8分以上，说明民众对于智慧公共文化服务体系是满意的；但是也要注意到，还有部分的服务利用率较低，例如文化活动预约仅占42%，反映出供给与需求之间还有一定距离。</w:t>
      </w:r>
    </w:p>
    <w:p w14:paraId="32E141B4">
      <w:pPr>
        <w:spacing w:line="300" w:lineRule="auto"/>
        <w:ind w:firstLine="602" w:firstLineChars="200"/>
        <w:outlineLvl w:val="0"/>
        <w:rPr>
          <w:rFonts w:hint="eastAsia" w:ascii="Times New Roman" w:hAnsi="Times New Roman" w:eastAsia="黑体" w:cs="Times New Roman"/>
          <w:b/>
          <w:bCs/>
          <w:kern w:val="44"/>
          <w:sz w:val="30"/>
          <w:szCs w:val="30"/>
          <w:lang w:val="en-US"/>
        </w:rPr>
      </w:pPr>
      <w:bookmarkStart w:id="17" w:name="_Toc2022"/>
      <w:r>
        <w:rPr>
          <w:rFonts w:hint="eastAsia" w:ascii="Times New Roman" w:hAnsi="Times New Roman" w:eastAsia="黑体" w:cs="Times New Roman"/>
          <w:b/>
          <w:bCs/>
          <w:kern w:val="44"/>
          <w:sz w:val="30"/>
          <w:szCs w:val="30"/>
          <w:lang w:val="en-US"/>
        </w:rPr>
        <w:t>4 宁波市智慧公共文化服务面临的主要问题与成因</w:t>
      </w:r>
      <w:bookmarkEnd w:id="17"/>
    </w:p>
    <w:p w14:paraId="FEB15E13">
      <w:pPr>
        <w:spacing w:line="300" w:lineRule="auto"/>
        <w:ind w:firstLine="562" w:firstLineChars="200"/>
        <w:outlineLvl w:val="1"/>
        <w:rPr>
          <w:rFonts w:hint="eastAsia" w:ascii="Times New Roman" w:hAnsi="Times New Roman" w:eastAsia="黑体" w:cs="Times New Roman"/>
          <w:b/>
          <w:bCs/>
          <w:sz w:val="28"/>
          <w:szCs w:val="28"/>
          <w:lang w:val="en-US"/>
        </w:rPr>
      </w:pPr>
      <w:bookmarkStart w:id="18" w:name="_Toc24569"/>
      <w:r>
        <w:rPr>
          <w:rFonts w:hint="eastAsia" w:ascii="Times New Roman" w:hAnsi="Times New Roman" w:eastAsia="黑体" w:cs="Times New Roman"/>
          <w:b/>
          <w:bCs/>
          <w:sz w:val="28"/>
          <w:szCs w:val="28"/>
          <w:lang w:val="en-US"/>
        </w:rPr>
        <w:t>4.1 存在的主要问题</w:t>
      </w:r>
      <w:bookmarkEnd w:id="18"/>
    </w:p>
    <w:p w14:paraId="A2CA926F">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虽然宁波市智慧公共文化服务发展取得一定成绩，但也存在一些问题。首先，缺乏整体规划，在各个部门、各区县之间缺乏良好配合下，“各自为战”，造成大量重复建设和浪费，以及服务质量参差不齐等问题；其次，数据分割严重，公共文化建设的数据与其他政府系统或社会系统的相关数据不能很好融合，“数据孤岛”，影响其应用价值；再次，服务针对性较弱，目前的服务大多是“大水漫灌”，不能很好地满足不同人群的需求，特别是老年人和农民工等群体。四是有运营保障机制不够健全，智慧公共文化服务的运营方式相对单一，过度依赖政府投资，缺少持续有效的市场化运作方式；另外评估机制不足，无法准确评价服务效果以及民众满意度。五是技术运用和服务意识相脱离，在一些智能化项目中过于注重技术演示而忽视内容开发，不利于提高服务水平及用户体验。</w:t>
      </w:r>
    </w:p>
    <w:p w14:paraId="FC8FB68F">
      <w:pPr>
        <w:spacing w:line="300" w:lineRule="auto"/>
        <w:ind w:firstLine="562" w:firstLineChars="200"/>
        <w:outlineLvl w:val="1"/>
        <w:rPr>
          <w:rFonts w:hint="eastAsia" w:ascii="Times New Roman" w:hAnsi="Times New Roman" w:eastAsia="黑体" w:cs="Times New Roman"/>
          <w:b/>
          <w:bCs/>
          <w:sz w:val="28"/>
          <w:szCs w:val="28"/>
          <w:lang w:val="en-US"/>
        </w:rPr>
      </w:pPr>
      <w:bookmarkStart w:id="19" w:name="_Toc981"/>
      <w:r>
        <w:rPr>
          <w:rFonts w:hint="eastAsia" w:ascii="Times New Roman" w:hAnsi="Times New Roman" w:eastAsia="黑体" w:cs="Times New Roman"/>
          <w:b/>
          <w:bCs/>
          <w:sz w:val="28"/>
          <w:szCs w:val="28"/>
          <w:lang w:val="en-US"/>
        </w:rPr>
        <w:t>4.2 问题的深层成因分析</w:t>
      </w:r>
      <w:bookmarkEnd w:id="19"/>
    </w:p>
    <w:p w14:paraId="2B2606A7">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宁波市智慧公共文化服务体系所遇到困难并非偶然现象，在很大程度上是由多个方面原因造成的。就制度而言，缺少从整体上进行设计、安排的领导机构，各自为政，难以形成合力推进智慧公共文化服务发展；从资源上看，资源配置不合理，大部分资金用于购买设备，而忽视内容创新、人才培训以及后期运维等方面；另外，社会力量未得到有效调动起来发挥作用，无法实现多方协同治理的局面；从思想观念上讲，有部分负责人还是过于注重技术层面的问题，认为智慧化就是技术上的进步，而忽略了以民为本的理念。从能力角度讲，专业人员不足，既懂技术又懂文化的复合型人才缺乏是影响智慧公共文化服务发展的一个因素；其次，公众数字素养参差不齐，部分人群不会或者不能很好地使用智慧化服务，也加大了数字鸿沟。</w:t>
      </w:r>
    </w:p>
    <w:p w14:paraId="3B7D7C6B">
      <w:pPr>
        <w:spacing w:line="300" w:lineRule="auto"/>
        <w:ind w:firstLine="602" w:firstLineChars="200"/>
        <w:outlineLvl w:val="0"/>
        <w:rPr>
          <w:rFonts w:hint="eastAsia" w:ascii="Times New Roman" w:hAnsi="Times New Roman" w:eastAsia="黑体" w:cs="Times New Roman"/>
          <w:b/>
          <w:bCs/>
          <w:kern w:val="44"/>
          <w:sz w:val="30"/>
          <w:szCs w:val="30"/>
          <w:lang w:val="en-US"/>
        </w:rPr>
      </w:pPr>
      <w:bookmarkStart w:id="20" w:name="_Toc20274"/>
      <w:r>
        <w:rPr>
          <w:rFonts w:hint="eastAsia" w:ascii="Times New Roman" w:hAnsi="Times New Roman" w:eastAsia="黑体" w:cs="Times New Roman"/>
          <w:b/>
          <w:bCs/>
          <w:kern w:val="44"/>
          <w:sz w:val="30"/>
          <w:szCs w:val="30"/>
          <w:lang w:val="en-US"/>
        </w:rPr>
        <w:t>5 优化城市智慧公共文化服务的对策</w:t>
      </w:r>
      <w:bookmarkEnd w:id="20"/>
    </w:p>
    <w:p w14:paraId="C4E871FA">
      <w:pPr>
        <w:spacing w:line="300" w:lineRule="auto"/>
        <w:ind w:firstLine="562" w:firstLineChars="200"/>
        <w:outlineLvl w:val="1"/>
        <w:rPr>
          <w:rFonts w:hint="eastAsia" w:ascii="Times New Roman" w:hAnsi="Times New Roman" w:eastAsia="黑体" w:cs="Times New Roman"/>
          <w:b/>
          <w:bCs/>
          <w:sz w:val="28"/>
          <w:szCs w:val="28"/>
          <w:lang w:val="en-US"/>
        </w:rPr>
      </w:pPr>
      <w:bookmarkStart w:id="21" w:name="_Toc22201"/>
      <w:r>
        <w:rPr>
          <w:rFonts w:hint="eastAsia" w:ascii="Times New Roman" w:hAnsi="Times New Roman" w:eastAsia="黑体" w:cs="Times New Roman"/>
          <w:b/>
          <w:bCs/>
          <w:sz w:val="28"/>
          <w:szCs w:val="28"/>
          <w:lang w:val="en-US"/>
        </w:rPr>
        <w:t>5.1 强化顶层设计与统筹协同机制</w:t>
      </w:r>
      <w:bookmarkEnd w:id="21"/>
    </w:p>
    <w:p w14:paraId="A76D6DCD">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加强顶层设计是促进智慧公共文化服务高质量发展的前提条件。宁波要组建以市长为组长的智慧公共文化服务工作领导小组，负责组织、指导全市各级各类单位开展相关工作，编制全市智慧公共文化服务发展规划及制定有关制度等；还要建立部门间协作配合的工作机制，消除部门之间的隔阂，实现文化、科技、政府之间信息互通、合作交流；还要把智慧公共文化服务建设作为一项重要的工作纳入到地方工作的考核内容当中去，落实责任到人，做到有布置、有检查、有落实。</w:t>
      </w:r>
    </w:p>
    <w:p w14:paraId="957353FE">
      <w:pPr>
        <w:spacing w:line="300" w:lineRule="auto"/>
        <w:ind w:firstLine="562" w:firstLineChars="200"/>
        <w:outlineLvl w:val="1"/>
        <w:rPr>
          <w:rFonts w:hint="eastAsia" w:ascii="Times New Roman" w:hAnsi="Times New Roman" w:eastAsia="黑体" w:cs="Times New Roman"/>
          <w:b/>
          <w:bCs/>
          <w:sz w:val="28"/>
          <w:szCs w:val="28"/>
          <w:lang w:val="en-US"/>
        </w:rPr>
      </w:pPr>
      <w:bookmarkStart w:id="22" w:name="_Toc6142"/>
      <w:r>
        <w:rPr>
          <w:rFonts w:hint="eastAsia" w:ascii="Times New Roman" w:hAnsi="Times New Roman" w:eastAsia="黑体" w:cs="Times New Roman"/>
          <w:b/>
          <w:bCs/>
          <w:sz w:val="28"/>
          <w:szCs w:val="28"/>
          <w:lang w:val="en-US"/>
        </w:rPr>
        <w:t>5.2 推动数据开放共享与技术融合创新</w:t>
      </w:r>
      <w:bookmarkEnd w:id="22"/>
    </w:p>
    <w:p w14:paraId="98FB0BE0">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数据开放共享是智慧公共文化服务的重要引擎。宁波市需加快构建公共文化大数据平台，汇集全市文化、旅游、体育等相关领域公共数据资源、政府公开数据和社会数据等，制定统一的数据标准并促进其流通使用，解决“数据孤岛”问题；还应支持技术创新，利用大数据、AI、VR/AR等技术提升公共文化服务水平，提供更多身临其境、参与性强的服务内容；还要注重保障信息安全和个人隐私，在数据管理上完善相关制度来维护公民权利。</w:t>
      </w:r>
    </w:p>
    <w:p w14:paraId="0B8073E6">
      <w:pPr>
        <w:spacing w:line="300" w:lineRule="auto"/>
        <w:ind w:firstLine="562" w:firstLineChars="200"/>
        <w:outlineLvl w:val="1"/>
        <w:rPr>
          <w:rFonts w:hint="eastAsia" w:ascii="Times New Roman" w:hAnsi="Times New Roman" w:eastAsia="黑体" w:cs="Times New Roman"/>
          <w:b/>
          <w:bCs/>
          <w:sz w:val="28"/>
          <w:szCs w:val="28"/>
          <w:lang w:val="en-US"/>
        </w:rPr>
      </w:pPr>
      <w:bookmarkStart w:id="23" w:name="_Toc20119"/>
      <w:r>
        <w:rPr>
          <w:rFonts w:hint="eastAsia" w:ascii="Times New Roman" w:hAnsi="Times New Roman" w:eastAsia="黑体" w:cs="Times New Roman"/>
          <w:b/>
          <w:bCs/>
          <w:sz w:val="28"/>
          <w:szCs w:val="28"/>
          <w:lang w:val="en-US"/>
        </w:rPr>
        <w:t>5.3 构建精准化、差异化、沉浸式的服务供给体系</w:t>
      </w:r>
      <w:bookmarkEnd w:id="23"/>
    </w:p>
    <w:p w14:paraId="7CF2BA84">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精准化、个性化、沉浸式的服务供给是提高智慧公共文化服务水平的重要手段。宁波市要利用大数据分析了解群众的需求，绘制用户画像，做到精准的服务。对于老年人、外来务工人员等人群，提供便捷、普惠的智能化服务，减少数字鸿沟。还要加强内容创新，开发更多有宁波地方特色文化产品，在此基础上利用VR/AR等技术营造身临其境的文化氛围，增强人们的感受度。而且还要促进线上线下的结合，形成线上线下相结合的服务模式，以更好地服务于广大市民。</w:t>
      </w:r>
    </w:p>
    <w:p w14:paraId="06BCB1AF">
      <w:pPr>
        <w:spacing w:line="300" w:lineRule="auto"/>
        <w:ind w:firstLine="562" w:firstLineChars="200"/>
        <w:outlineLvl w:val="1"/>
        <w:rPr>
          <w:rFonts w:hint="eastAsia" w:ascii="Times New Roman" w:hAnsi="Times New Roman" w:eastAsia="黑体" w:cs="Times New Roman"/>
          <w:b/>
          <w:bCs/>
          <w:sz w:val="28"/>
          <w:szCs w:val="28"/>
          <w:lang w:val="en-US"/>
        </w:rPr>
      </w:pPr>
      <w:bookmarkStart w:id="24" w:name="_Toc30144"/>
      <w:r>
        <w:rPr>
          <w:rFonts w:hint="eastAsia" w:ascii="Times New Roman" w:hAnsi="Times New Roman" w:eastAsia="黑体" w:cs="Times New Roman"/>
          <w:b/>
          <w:bCs/>
          <w:sz w:val="28"/>
          <w:szCs w:val="28"/>
          <w:lang w:val="en-US"/>
        </w:rPr>
        <w:t>5.4 提升公众数字素养与参与能力</w:t>
      </w:r>
      <w:bookmarkEnd w:id="24"/>
    </w:p>
    <w:p w14:paraId="19D47196">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提高公众数字素养以及参与度对智慧公共文化服务可持续发展至关重要。因此要增强市民数字素养，在社区学校、文化馆等地举办各种形式数字培训，特别是要帮助老年人、农民学习使用新技术。还要建立公众参与制度，利用网络调查、现场交流等形式收集各方建议，使人民参与智慧公共文化服务的设计、建设和评价中。而且要发挥社会力量的作用，比如社团组织、义工等参与其中，共同打造良好局面。</w:t>
      </w:r>
    </w:p>
    <w:p w14:paraId="13234874">
      <w:pPr>
        <w:spacing w:line="300" w:lineRule="auto"/>
        <w:ind w:firstLine="562" w:firstLineChars="200"/>
        <w:outlineLvl w:val="1"/>
        <w:rPr>
          <w:rFonts w:hint="eastAsia" w:ascii="Times New Roman" w:hAnsi="Times New Roman" w:eastAsia="黑体" w:cs="Times New Roman"/>
          <w:b/>
          <w:bCs/>
          <w:sz w:val="28"/>
          <w:szCs w:val="28"/>
          <w:lang w:val="en-US"/>
        </w:rPr>
      </w:pPr>
      <w:bookmarkStart w:id="25" w:name="_Toc12501"/>
      <w:r>
        <w:rPr>
          <w:rFonts w:hint="eastAsia" w:ascii="Times New Roman" w:hAnsi="Times New Roman" w:eastAsia="黑体" w:cs="Times New Roman"/>
          <w:b/>
          <w:bCs/>
          <w:sz w:val="28"/>
          <w:szCs w:val="28"/>
          <w:lang w:val="en-US"/>
        </w:rPr>
        <w:t>5.5 完善可持续的运营与评估保障机制</w:t>
      </w:r>
      <w:bookmarkEnd w:id="25"/>
    </w:p>
    <w:p w14:paraId="966320A8">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完善的可持续运营及评价机制有利于智慧公共文化服务高质量发展，在此方面宁波可探索新的运营方式吸引社会资本投入智慧公共文化服务领域，形成"政府主导、市场运作、社会参与"的良好氛围。其次应建立合理的评价标准，邀请第三方进行评价，从服务水平、群众满意程度以及是否具有持续性等方面对智慧公共文化服务进行整体性评价并将此作为资源分配及政策制定的重要参考。最后应注重人员培训，培养出一批既熟悉信息技术又了解文化的人才以支持智慧公共文化服务创新发展。</w:t>
      </w:r>
    </w:p>
    <w:p w14:paraId="354AECFD">
      <w:pPr>
        <w:spacing w:line="300" w:lineRule="auto"/>
        <w:ind w:firstLine="602" w:firstLineChars="200"/>
        <w:outlineLvl w:val="0"/>
        <w:rPr>
          <w:rFonts w:hint="eastAsia" w:ascii="Times New Roman" w:hAnsi="Times New Roman" w:eastAsia="黑体" w:cs="Times New Roman"/>
          <w:b/>
          <w:bCs/>
          <w:kern w:val="44"/>
          <w:sz w:val="30"/>
          <w:szCs w:val="30"/>
          <w:lang w:val="en-US"/>
        </w:rPr>
      </w:pPr>
      <w:bookmarkStart w:id="26" w:name="_Toc31128"/>
      <w:r>
        <w:rPr>
          <w:rFonts w:hint="eastAsia" w:ascii="Times New Roman" w:hAnsi="Times New Roman" w:eastAsia="黑体" w:cs="Times New Roman"/>
          <w:b/>
          <w:bCs/>
          <w:kern w:val="44"/>
          <w:sz w:val="30"/>
          <w:szCs w:val="30"/>
          <w:lang w:val="en-US"/>
        </w:rPr>
        <w:t>6 结论与展望</w:t>
      </w:r>
      <w:bookmarkEnd w:id="26"/>
    </w:p>
    <w:p w14:paraId="CD255C55">
      <w:pPr>
        <w:spacing w:line="300" w:lineRule="auto"/>
        <w:ind w:firstLine="562" w:firstLineChars="200"/>
        <w:outlineLvl w:val="1"/>
        <w:rPr>
          <w:rFonts w:hint="eastAsia" w:ascii="Times New Roman" w:hAnsi="Times New Roman" w:eastAsia="黑体" w:cs="Times New Roman"/>
          <w:b/>
          <w:bCs/>
          <w:sz w:val="28"/>
          <w:szCs w:val="28"/>
          <w:lang w:val="en-US"/>
        </w:rPr>
      </w:pPr>
      <w:bookmarkStart w:id="27" w:name="_Toc20024"/>
      <w:r>
        <w:rPr>
          <w:rFonts w:hint="eastAsia" w:ascii="Times New Roman" w:hAnsi="Times New Roman" w:eastAsia="黑体" w:cs="Times New Roman"/>
          <w:b/>
          <w:bCs/>
          <w:sz w:val="28"/>
          <w:szCs w:val="28"/>
          <w:lang w:val="en-US"/>
        </w:rPr>
        <w:t>6.1 研究结论</w:t>
      </w:r>
      <w:bookmarkEnd w:id="27"/>
    </w:p>
    <w:p w14:paraId="4F6B74B8">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本文以宁波为例，对智慧城市建设背景下城市公共文化服务转型进行研究。研究表明，宁波智慧公共文化服务开展良好，数字基础设施日益完善，服务形式不断丰富，民众满意度不断提高。但是也存在顶层设计欠缺、数据孤岛严重、服务供给针对性差、管理机制欠缺等现象，究其原因主要是因为制度支撑不够、资源分配不合理、服务意识薄弱。因此，本文从顶层设计、数据开放、服务提供、公众参与以及运营管理六个方面提出建议，促进宁波智慧公共文化服务水平提升。</w:t>
      </w:r>
    </w:p>
    <w:p w14:paraId="BE4AB68A">
      <w:pPr>
        <w:spacing w:line="300" w:lineRule="auto"/>
        <w:ind w:firstLine="562" w:firstLineChars="200"/>
        <w:outlineLvl w:val="1"/>
        <w:rPr>
          <w:rFonts w:hint="eastAsia" w:ascii="Times New Roman" w:hAnsi="Times New Roman" w:eastAsia="黑体" w:cs="Times New Roman"/>
          <w:b/>
          <w:bCs/>
          <w:sz w:val="28"/>
          <w:szCs w:val="28"/>
          <w:lang w:val="en-US"/>
        </w:rPr>
      </w:pPr>
      <w:bookmarkStart w:id="28" w:name="_Toc11469"/>
      <w:r>
        <w:rPr>
          <w:rFonts w:hint="eastAsia" w:ascii="Times New Roman" w:hAnsi="Times New Roman" w:eastAsia="黑体" w:cs="Times New Roman"/>
          <w:b/>
          <w:bCs/>
          <w:sz w:val="28"/>
          <w:szCs w:val="28"/>
          <w:lang w:val="en-US"/>
        </w:rPr>
        <w:t>6.2 研究展望</w:t>
      </w:r>
      <w:bookmarkEnd w:id="28"/>
    </w:p>
    <w:p w14:paraId="46BBA7C6">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未来，在数字化技术不断发展以及智慧城市建设不断推进背景下，智慧公共文化服务也将迎来新的契机，宁波可以把握好机会，加强技术应用和服务创新力度，使智慧公共文化服务质量更高、效率更好、公平性强、可持续性更强。另外，本文也给全国各地城市起到一定参考意义，以后还可以进行更多地市间对比分析，探讨各地智慧城市公共文化建设模式和发展道路问题，助力中国智慧公共文化服务体系建设。</w:t>
      </w:r>
    </w:p>
    <w:p w14:paraId="1D054BC2">
      <w:pPr>
        <w:spacing w:line="300" w:lineRule="auto"/>
        <w:ind w:firstLine="480" w:firstLineChars="200"/>
        <w:rPr>
          <w:rFonts w:hint="eastAsia" w:ascii="Times New Roman" w:hAnsi="Times New Roman" w:cs="Times New Roman"/>
          <w:sz w:val="24"/>
          <w:szCs w:val="24"/>
        </w:rPr>
        <w:sectPr>
          <w:pgSz w:w="11906" w:h="16838"/>
          <w:pgMar w:top="1440" w:right="1800" w:bottom="1440" w:left="1800" w:header="851" w:footer="992" w:gutter="0"/>
          <w:cols w:space="425" w:num="1"/>
          <w:docGrid w:type="lines" w:linePitch="312" w:charSpace="0"/>
        </w:sectPr>
      </w:pPr>
    </w:p>
    <w:p w14:paraId="32AA3C4B">
      <w:pPr>
        <w:pStyle w:val="2"/>
        <w:numPr>
          <w:ilvl w:val="0"/>
          <w:numId w:val="0"/>
        </w:numPr>
        <w:spacing w:before="312" w:beforeLines="100" w:after="156" w:afterLines="50" w:line="300" w:lineRule="auto"/>
        <w:jc w:val="center"/>
        <w:rPr>
          <w:rFonts w:hint="eastAsia" w:eastAsia="黑体"/>
          <w:sz w:val="30"/>
          <w:szCs w:val="30"/>
        </w:rPr>
      </w:pPr>
      <w:bookmarkStart w:id="29" w:name="_Toc28"/>
      <w:bookmarkStart w:id="30" w:name="_Toc193919899"/>
      <w:r>
        <w:rPr>
          <w:rFonts w:eastAsia="黑体"/>
          <w:sz w:val="30"/>
          <w:szCs w:val="30"/>
        </w:rPr>
        <w:t>参考文献</w:t>
      </w:r>
      <w:bookmarkEnd w:id="29"/>
      <w:bookmarkEnd w:id="30"/>
    </w:p>
    <w:p w14:paraId="3B3E6676">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[1] 陈国富.大数据视域下推进智慧社区治理创新[J]. 创新, 2021, 15(4): 12-21.</w:t>
      </w:r>
    </w:p>
    <w:p w14:paraId="4714AE58">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[2] 罗杰斯 E M.创新的扩散[M]. 辛欣，译. 北京: 中央编译出版社, 2002.</w:t>
      </w:r>
    </w:p>
    <w:p w14:paraId="52BC45BD">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[3] 威廉斯 R.文化与社会[M]. 高晓玲，译. 北京: 商务印书馆, 2018.</w:t>
      </w:r>
    </w:p>
    <w:p w14:paraId="5D37639C">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[4] 朱桂龙.智慧城市公共文化服务建设理论与实践[M]. 北京: 科学出版社, 2015.</w:t>
      </w:r>
    </w:p>
    <w:p w14:paraId="6E4CA078">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[5] 曾令香，刘彤.科技艺术融入智慧城市公共文化服务建设的创新路径研究[J]. 包装工程, 2024, 45(24): 488-495.</w:t>
      </w:r>
    </w:p>
    <w:p w14:paraId="505DC6EF">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[6] 俞同舟.数字媒体艺术应用于可持续性发展的探索与创新[J].艺术教育,2024(6): 58-61.</w:t>
      </w:r>
    </w:p>
    <w:p w14:paraId="073023B1">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[7] 戴志军.物联网技术在智慧城市公共文化服务中的应用研究[J].中国科技信息,2022(14): 1-2.</w:t>
      </w:r>
    </w:p>
    <w:p w14:paraId="12BCCB47">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[8] 中国艺术科技研究所.科技艺术的发展现状与趋势分析[M].北京:文化艺术出版社, 2024.</w:t>
      </w:r>
    </w:p>
    <w:p w14:paraId="1A5BB084">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[9] 张志鹏，张伟.社区治理理论与实务[M]. 南京: 南京大学出版社, 2022.</w:t>
      </w:r>
    </w:p>
    <w:p w14:paraId="4AAE2E22">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[10] GB/T 36333-2018. 智慧城市公共文化服务顶层设计建设指南[S].</w:t>
      </w:r>
    </w:p>
    <w:p w14:paraId="54515FA0">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[11] 马克·第亚尼.非物质社会—后工业世界的设计、文化与技术[M]. 腾守尧，译. 成都: 四川人民出版社, 1998.</w:t>
      </w:r>
    </w:p>
    <w:p w14:paraId="112A9777">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[12] 杨燕柔.化工园区智慧化建设路径探索与实践[J].现代职业安全, 2022(11): 38-39.</w:t>
      </w:r>
    </w:p>
    <w:p w14:paraId="0EB85D9E">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[13] 李菁菁.政府数据开放中个人信息保护效果的量化评估[J].科技管理研究, 2024, 44(20): 19-27.</w:t>
      </w:r>
    </w:p>
    <w:p w14:paraId="30F0D53B">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[14] 刘绍宇.论数字时代个人信息保护的风险规制路径[J]. 西南政法大学学报, 2022, 26(04): 142-158.</w:t>
      </w:r>
    </w:p>
    <w:p w14:paraId="2B8A468D">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[15] 邓崧，王苑卿.基于SFIC模型的公民个人信息开放与保护的协同治理研究[J].大理大学学报, 2023, 9(09): 67-74.</w:t>
      </w:r>
    </w:p>
    <w:p w14:paraId="7744D0D3">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[16] 唐林.生成式人工智能(AIGC)下的个人信息保护行政公益诉讼探索与发展[J].安徽理工大学学报(社会科学版), 2024, 26(06): 33-40.</w:t>
      </w:r>
    </w:p>
    <w:p w14:paraId="0CD3AD0F">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[17] 张新平，朱逸文.美国个人数据保护法律制度的演进与启示[J]. 武汉科技大学学报(社会科学版), 2023, 26(05): 60-76.</w:t>
      </w:r>
    </w:p>
    <w:p w14:paraId="72C1E711">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[18] 李想.政务数据共享与个人信息保护之冲突与弥合[J].大数据时代,2022, (07): 27-31.</w:t>
      </w:r>
    </w:p>
    <w:p w14:paraId="44644787">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[19] 陈水生.中国城市公共空间治理模式创新研究[J].江苏行政学院学报,2018(05):99-107.</w:t>
      </w:r>
    </w:p>
    <w:p w14:paraId="28CF65D4">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[20] 王海荣.空间理论视阈下当代中国城市治理研究[D].吉林大学,2019.</w:t>
      </w:r>
    </w:p>
    <w:p w14:paraId="64D5A6E1">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[21] 陆小成.新型城镇化的空间生产与治理机制——基于空间正义的视角[J].城市发展研究,2016,23(09):94-100.</w:t>
      </w:r>
    </w:p>
    <w:p w14:paraId="40199966">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[22] 余德江.浅谈城镇智慧公共文化服务建设[J].大众文艺,2014(02):31.</w:t>
      </w:r>
    </w:p>
    <w:p w14:paraId="1F0B006D">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[23] 徐望.公共数字文化建设要求下的智慧文化服务体系建设研究[J].电子政务,2018(03):54-63.</w:t>
      </w:r>
    </w:p>
    <w:p w14:paraId="31DA9F6B">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[24] 马岩,郑建明,王翠姣.媒体融合视角下的智慧公共文化服务策略[J].图书馆论坛,2020,40(09):20-27.</w:t>
      </w:r>
    </w:p>
    <w:p w14:paraId="6FD6DD07">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[25] 韦景竹,王政.智慧公共文化服务的概念表达与特征分析[J].情报资料工作,2020,41(04):12-21.</w:t>
      </w:r>
    </w:p>
    <w:p w14:paraId="535767C5">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ascii="Times New Roman" w:hAnsi="Times New Roman"/>
          <w:sz w:val="21"/>
          <w:vertAlign w:val="superscript"/>
        </w:rPr>
        <w:t>[26]</w:t>
      </w:r>
      <w:r>
        <w:rPr>
          <w:rFonts w:ascii="Times New Roman" w:hAnsi="Times New Roman"/>
          <w:sz w:val="21"/>
        </w:rPr>
        <w:t xml:space="preserve"> 张树臣、陈伟、高长元.大数据环境下的公共数字文化服务云平台建设研究[J/OL].情报科学研究：1-7[2021-03-09].http://kns.cnki.net/kcms/detail/22.1264.G2.20200521.1531.028.html.</w:t>
      </w:r>
    </w:p>
    <w:p w14:paraId="29E18690">
      <w:pPr>
        <w:numPr>
          <w:ilvl w:val="0"/>
          <w:numId w:val="0"/>
        </w:numPr>
        <w:spacing w:line="254" w:lineRule="auto"/>
        <w:ind w:left="510" w:hanging="51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[27] 沈费伟.大数据时代“智慧国土空间规划”的治理框架、案例检视与提升策略[J].改革与战略,2019,35(10):100-107.</w:t>
      </w:r>
    </w:p>
    <w:p w14:paraId="654F14E8">
      <w:pPr>
        <w:numPr>
          <w:ilvl w:val="0"/>
          <w:numId w:val="0"/>
        </w:numPr>
        <w:spacing w:line="254" w:lineRule="auto"/>
        <w:ind w:left="510" w:hanging="510"/>
        <w:rPr>
          <w:rFonts w:hint="eastAsia" w:ascii="Times New Roman" w:hAnsi="Times New Roman" w:cs="Times New Roman"/>
          <w:kern w:val="2"/>
          <w:sz w:val="21"/>
          <w:szCs w:val="21"/>
          <w:lang w:val="en-US" w:eastAsia="zh-CN" w:bidi="ar-SA"/>
        </w:rPr>
        <w:sectPr>
          <w:pgSz w:w="11906" w:h="16838"/>
          <w:pgMar w:top="1440" w:right="1800" w:bottom="1440" w:left="1800" w:header="851" w:footer="992" w:gutter="0"/>
          <w:cols w:space="425" w:num="1"/>
          <w:docGrid w:type="lines" w:linePitch="312" w:charSpace="0"/>
        </w:sectPr>
      </w:pPr>
    </w:p>
    <w:p w14:paraId="602DA9CE">
      <w:pPr>
        <w:pStyle w:val="2"/>
        <w:numPr>
          <w:ilvl w:val="0"/>
          <w:numId w:val="0"/>
        </w:numPr>
        <w:spacing w:before="312" w:beforeLines="100" w:after="156" w:afterLines="50" w:line="300" w:lineRule="auto"/>
        <w:jc w:val="center"/>
        <w:rPr>
          <w:rFonts w:eastAsia="黑体"/>
          <w:sz w:val="30"/>
          <w:szCs w:val="30"/>
        </w:rPr>
      </w:pPr>
      <w:bookmarkStart w:id="31" w:name="_Toc193919900"/>
      <w:bookmarkStart w:id="32" w:name="_Toc27576"/>
      <w:r>
        <w:rPr>
          <w:rFonts w:hint="eastAsia" w:eastAsia="黑体"/>
          <w:sz w:val="30"/>
          <w:szCs w:val="30"/>
        </w:rPr>
        <w:t xml:space="preserve">致 </w:t>
      </w:r>
      <w:r>
        <w:rPr>
          <w:rFonts w:eastAsia="黑体"/>
          <w:sz w:val="30"/>
          <w:szCs w:val="30"/>
        </w:rPr>
        <w:t xml:space="preserve"> </w:t>
      </w:r>
      <w:r>
        <w:rPr>
          <w:rFonts w:hint="eastAsia" w:eastAsia="黑体"/>
          <w:sz w:val="30"/>
          <w:szCs w:val="30"/>
        </w:rPr>
        <w:t>谢</w:t>
      </w:r>
      <w:bookmarkEnd w:id="31"/>
      <w:bookmarkEnd w:id="32"/>
    </w:p>
    <w:p w14:paraId="20E5FC1C">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论文完成之际，我要感谢很多老师、同学以及亲朋好友的帮助和支持，在此一并表示衷心的感谢。</w:t>
      </w:r>
    </w:p>
    <w:p w14:paraId="452BDC94">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首先，我要对我导师表达最崇高敬意以及最真挚感激之情。论文从开题报告撰写、资料查阅、结构安排，到具体问题讨论、调查计划制定，再到初稿修改直至最后完成，导师都花费大量时间精力，给予我悉心教导与无私帮助。导师认真负责教学态度、渊博专业知识水平、独到见解及对学生成长关心关爱，都让我铭记在心并成为今后人生道路上一笔巨大财富。</w:t>
      </w:r>
    </w:p>
    <w:p w14:paraId="36CC042B">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感谢在我论文撰写过程中给予我指导、启发与帮助的所有老师，在此表示由衷谢意！他们丰富的知识以及中肯的意见使我在研究中受益匪浅，开阔了我的眼界。</w:t>
      </w:r>
    </w:p>
    <w:p w14:paraId="075AF582">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感谢宁波市相关部门、文化公共机构的相关人员以及参与此次调查的所有被访者，在百忙之中拨冗接受访谈、填写问卷，他们提供第一手资料及经验，使本课题得以正常进行并且有意义。他们配合是本论文能够顺利完成的重要因素。</w:t>
      </w:r>
    </w:p>
    <w:p w14:paraId="77039DE1">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感谢我的同学们以及朋友们，在我的学习及论文撰写过程中，大家互相帮助、互相鼓励、一起研究学术问题，他们在我身边给我带来一个积极的学习环境，在困难面前也让我坚持下去。</w:t>
      </w:r>
    </w:p>
    <w:p w14:paraId="57B16A49">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最后，我要感谢我的家人，在我人生道路上给予我无限的支持与鼓励，是他们的理解和支持以及无私奉献让我有足够信心去完成学业及这篇论文撰写工作。</w:t>
      </w:r>
    </w:p>
    <w:p w14:paraId="624935E5">
      <w:pPr>
        <w:spacing w:line="300" w:lineRule="auto"/>
        <w:ind w:firstLine="480" w:firstLineChars="200"/>
        <w:rPr>
          <w:rFonts w:hint="eastAsia" w:ascii="Times New Roman" w:hAnsi="Times New Roman" w:cs="Times New Roman"/>
          <w:sz w:val="24"/>
          <w:szCs w:val="24"/>
          <w:lang w:val="en-US"/>
        </w:rPr>
      </w:pPr>
      <w:r>
        <w:rPr>
          <w:rFonts w:ascii="Times New Roman" w:hAnsi="Times New Roman"/>
          <w:sz w:val="24"/>
        </w:rPr>
        <w:t>因为自身的知识有限、经验不足，在文章中一定会有许多问题和不足，请各位老师、专家批评指正。同时对关心和支持我的所有人致以衷心感谢。</w:t>
      </w:r>
    </w:p>
    <w:p w14:paraId="51A25AFC">
      <w:pPr>
        <w:numPr>
          <w:ilvl w:val="0"/>
          <w:numId w:val="0"/>
        </w:numPr>
        <w:spacing w:line="254" w:lineRule="auto"/>
        <w:ind w:left="510" w:hanging="510"/>
        <w:rPr>
          <w:rFonts w:hint="eastAsia" w:ascii="Times New Roman" w:hAnsi="Times New Roman" w:cs="Times New Roman"/>
          <w:kern w:val="2"/>
          <w:sz w:val="21"/>
          <w:szCs w:val="21"/>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874C8">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2</w:t>
    </w:r>
    <w:r>
      <w:fldChar w:fldCharType="end"/>
    </w:r>
  </w:p>
  <w:p w14:paraId="205C9812">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95EB7">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2</w:t>
    </w:r>
    <w:r>
      <w:fldChar w:fldCharType="end"/>
    </w:r>
  </w:p>
  <w:p w14:paraId="3EC76999">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9A2C2">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D67DD">
    <w:pPr>
      <w:pStyle w:val="6"/>
    </w:pPr>
    <w:r>
      <w:rPr>
        <w:rFonts w:hint="eastAsia"/>
      </w:rPr>
      <w:t>浙江工业大学继续教育学院2026届毕业设计（论文）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8"/>
    <w:multiLevelType w:val="multilevel"/>
    <w:tmpl w:val="00000008"/>
    <w:lvl w:ilvl="0" w:tentative="0">
      <w:start w:val="1"/>
      <w:numFmt w:val="decimal"/>
      <w:pStyle w:val="2"/>
      <w:lvlText w:val="%1"/>
      <w:lvlJc w:val="left"/>
      <w:pPr>
        <w:tabs>
          <w:tab w:val="left" w:pos="0"/>
        </w:tabs>
        <w:ind w:left="0" w:firstLine="0"/>
      </w:pPr>
      <w:rPr>
        <w:rFonts w:hint="default" w:ascii="Times New Roman" w:hAnsi="Times New Roman" w:eastAsia="黑体"/>
        <w:sz w:val="32"/>
        <w:szCs w:val="32"/>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3510BDA"/>
    <w:rsid w:val="2C68093E"/>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1"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1"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1"/>
    <w:pPr>
      <w:jc w:val="left"/>
    </w:pPr>
  </w:style>
  <w:style w:type="paragraph" w:styleId="4">
    <w:name w:val="Body Text"/>
    <w:basedOn w:val="1"/>
    <w:uiPriority w:val="0"/>
    <w:pPr>
      <w:spacing w:after="120"/>
    </w:p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toc 1"/>
    <w:basedOn w:val="1"/>
    <w:next w:val="1"/>
    <w:uiPriority w:val="0"/>
  </w:style>
  <w:style w:type="paragraph" w:styleId="8">
    <w:name w:val="toc 2"/>
    <w:basedOn w:val="1"/>
    <w:next w:val="1"/>
    <w:uiPriority w:val="0"/>
    <w:pPr>
      <w:ind w:left="420" w:leftChars="200"/>
    </w:pPr>
  </w:style>
  <w:style w:type="character" w:styleId="11">
    <w:name w:val="page number"/>
    <w:qFormat/>
    <w:uiPriority w:val="0"/>
  </w:style>
  <w:style w:type="character" w:styleId="12">
    <w:name w:val="annotation reference"/>
    <w:semiHidden/>
    <w:unhideWhenUsed/>
    <w:qFormat/>
    <w:uiPriority w:val="1"/>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9430</Words>
  <Characters>11562</Characters>
  <Paragraphs>84</Paragraphs>
  <TotalTime>0</TotalTime>
  <ScaleCrop>false</ScaleCrop>
  <LinksUpToDate>false</LinksUpToDate>
  <CharactersWithSpaces>12221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2026-03-03T03:00:00Z</dcterms:created>
  <dc:creator>V2241HA</dc:creator>
  <cp:lastModifiedBy>楠木</cp:lastModifiedBy>
  <dcterms:modified xsi:type="dcterms:W3CDTF">2026-03-03T03:54:23Z</dcterms:modified>
  <dc:description>lundao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36D108AFAABC48708750A83422A177FE_13</vt:lpwstr>
  </property>
  <property fmtid="{D5CDD505-2E9C-101B-9397-08002B2CF9AE}" pid="3" name="KSOTemplateDocerSaveRecord">
    <vt:lpwstr>eyJoZGlkIjoiMDk2NTYyMGRhZDhlZDRmOWI4NGI0NjM2MDZkYzQwNTkiLCJ1c2VySWQiOiIzOTA1OTYwNDIifQ==</vt:lpwstr>
  </property>
  <property fmtid="{D5CDD505-2E9C-101B-9397-08002B2CF9AE}" pid="4" name="KSOProductBuildVer">
    <vt:lpwstr>2052-12.1.0.25225</vt:lpwstr>
  </property>
</Properties>
</file>