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4F8A"/>
          <w:sz w:val="64"/>
          <w:szCs w:val="64"/>
        </w:rPr>
        <w:t xml:space="preserve">PowerWave Analyst</w:t>
      </w:r>
    </w:p>
    <w:p>
      <w:pPr>
        <w:spacing w:after="120"/>
        <w:jc w:val="center"/>
      </w:pPr>
      <w:r>
        <w:rPr>
          <w:rFonts w:ascii="Arial" w:cs="Arial" w:eastAsia="Arial" w:hAnsi="Arial"/>
          <w:b/>
          <w:bCs/>
          <w:color w:val="2E75B6"/>
          <w:sz w:val="28"/>
          <w:szCs w:val="28"/>
        </w:rPr>
        <w:t xml:space="preserve">Document 1 of 3 — Skills &amp; Knowledge Base</w:t>
      </w:r>
    </w:p>
    <w:p>
      <w:pPr>
        <w:spacing w:after="480"/>
        <w:jc w:val="center"/>
      </w:pPr>
      <w:r>
        <w:rPr>
          <w:rFonts w:ascii="Arial" w:cs="Arial" w:eastAsia="Arial" w:hAnsi="Arial"/>
          <w:color w:val="888888"/>
          <w:sz w:val="22"/>
          <w:szCs w:val="22"/>
        </w:rPr>
        <w:t xml:space="preserve">Revision 2 — Updated with real file analysis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6"/>
              <w:bottom w:val="single" w:color="CCCCCC" w:sz="1"/>
              <w:right w:val="single" w:color="CCCCCC" w:sz="1"/>
            </w:tcBorders>
            <w:shd w:fill="E8F0FB" w:val="clear"/>
            <w:tcMar>
              <w:top w:type="dxa" w:w="120"/>
              <w:left w:type="dxa" w:w="180"/>
              <w:bottom w:type="dxa" w:w="120"/>
              <w:right w:type="dxa" w:w="120"/>
            </w:tcMar>
          </w:tcPr>
          <w:p>
            <w:pPr>
              <w:spacing w:after="40"/>
            </w:pPr>
            <w:r>
              <w:rPr>
                <w:rFonts w:ascii="Arial" w:cs="Arial" w:eastAsia="Arial" w:hAnsi="Arial"/>
                <w:b/>
                <w:bCs/>
                <w:color w:val="1B4F8A"/>
                <w:sz w:val="20"/>
                <w:szCs w:val="20"/>
              </w:rPr>
              <w:t xml:space="preserve">What Changed in Revision 2</w:t>
            </w:r>
          </w:p>
          <w:p>
            <w:pPr>
              <w:spacing w:after="0"/>
            </w:pPr>
            <w:r>
              <w:rPr>
                <w:rFonts w:ascii="Arial" w:cs="Arial" w:eastAsia="Arial" w:hAnsi="Arial"/>
                <w:sz w:val="20"/>
                <w:szCs w:val="20"/>
              </w:rPr>
              <w:t xml:space="preserve">Added: BEN32 slow-rate record as general-purpose slow sampler (not generator-specific). Added: NARI relay domain knowledge. Added: R/Y/B Malaysian/British phase convention. Added: Generator and mechanical channel types (field current/voltage, RPM, valve position, sequence RMS). Added: Malaysian PMU structure with SGT timezone. Added: Compatibility philosophy for multi-vendor support. Added: All vendor quirks confirmed from real COMTRADE files.</w:t>
            </w:r>
          </w:p>
        </w:tc>
      </w:tr>
    </w:tbl>
    <w:p>
      <w:pPr>
        <w:spacing w:after="120"/>
      </w:pPr>
      <w:r>
        <w:t xml:space="preserve"/>
      </w:r>
    </w:p>
    <w:p>
      <w:pPr>
        <w:pageBreakBefore/>
      </w:pPr>
      <w:r>
        <w:t xml:space="preserve"/>
      </w:r>
    </w:p>
    <w:p>
      <w:pPr>
        <w:pStyle w:val="Heading1"/>
        <w:spacing w:before="360" w:after="160"/>
      </w:pPr>
      <w:r>
        <w:rPr>
          <w:rFonts w:ascii="Arial" w:cs="Arial" w:eastAsia="Arial" w:hAnsi="Arial"/>
          <w:b/>
          <w:bCs/>
          <w:color w:val="1B4F8A"/>
          <w:sz w:val="32"/>
          <w:szCs w:val="32"/>
        </w:rPr>
        <w:t xml:space="preserve">1. Power System Domain Knowledge</w:t>
      </w:r>
    </w:p>
    <w:p>
      <w:pPr>
        <w:pStyle w:val="Heading2"/>
        <w:spacing w:before="280" w:after="120"/>
      </w:pPr>
      <w:r>
        <w:rPr>
          <w:rFonts w:ascii="Arial" w:cs="Arial" w:eastAsia="Arial" w:hAnsi="Arial"/>
          <w:b/>
          <w:bCs/>
          <w:color w:val="2E75B6"/>
          <w:sz w:val="26"/>
          <w:szCs w:val="26"/>
        </w:rPr>
        <w:t xml:space="preserve">1.1 Nature of Power System Disturbance Records</w:t>
      </w:r>
    </w:p>
    <w:p>
      <w:pPr>
        <w:spacing w:after="120"/>
      </w:pPr>
      <w:r>
        <w:rPr>
          <w:rFonts w:ascii="Arial" w:cs="Arial" w:eastAsia="Arial" w:hAnsi="Arial"/>
          <w:sz w:val="22"/>
          <w:szCs w:val="22"/>
        </w:rPr>
        <w:t xml:space="preserve">Power system disturbance records capture electrical waveforms during abnormal system events. These records are the primary diagnostic tool for Protection Engineers and Fault Analysts. Two fundamentally different record types exist, both produced by the same recorder hardware:</w:t>
      </w:r>
    </w:p>
    <w:p>
      <w:pPr>
        <w:spacing w:after="12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200"/>
      </w:tblGrid>
      <w:tr>
        <w:trPr>
          <w:tblHeader/>
        </w:trPr>
        <w:tc>
          <w:tcPr>
            <w:tcW w:type="dxa" w:w="22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Fast-Rate Record</w:t>
            </w:r>
          </w:p>
        </w:tc>
        <w:tc>
          <w:tcPr>
            <w:tcW w:type="dxa" w:w="32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Slow-Rate Record</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Sample rate</w:t>
            </w:r>
          </w:p>
        </w:tc>
        <w:tc>
          <w:tcPr>
            <w:tcW w:type="dxa" w:w="31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1200–6000 Hz</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10–200 Hz (typically 50 Hz)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seconds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10–300+ seconds</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Purpose</w:t>
            </w:r>
          </w:p>
        </w:tc>
        <w:tc>
          <w:tcPr>
            <w:tcW w:type="dxa" w:w="31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Capture transient detail — fault inception, waveform shape, DC offset</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Capture sustained behaviour — frequency excursion, power swing, generator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mode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Waveform — continuous line with decimation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 scatter plot, one point per cycle or slower</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Analysis</w:t>
            </w:r>
          </w:p>
        </w:tc>
        <w:tc>
          <w:tcPr>
            <w:tcW w:type="dxa" w:w="31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RMS, phasor, FFT, symmetrical components</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Power trend, frequency trend, mechanical quantities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 crossing, protection pickup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sustained disturbance or manual trigger</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Example</w:t>
            </w:r>
          </w:p>
        </w:tc>
        <w:tc>
          <w:tcPr>
            <w:tcW w:type="dxa" w:w="31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Fault on 275kV line — 5000Hz, 4 seconds</w:t>
            </w:r>
          </w:p>
        </w:tc>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Generator frequency event — 50Hz, 70 seconds</w:t>
            </w:r>
          </w:p>
        </w:tc>
      </w:tr>
    </w:tbl>
    <w:p>
      <w:pPr>
        <w:spacing w:after="120"/>
      </w:pPr>
      <w:r>
        <w:t xml:space="preserve"/>
      </w:r>
    </w:p>
    <w:p>
      <w:pPr>
        <w:spacing w:after="120"/>
      </w:pPr>
      <w:r>
        <w:rPr>
          <w:rFonts w:ascii="Arial" w:cs="Arial" w:eastAsia="Arial" w:hAnsi="Arial"/>
          <w:sz w:val="22"/>
          <w:szCs w:val="22"/>
        </w:rPr>
        <w:t xml:space="preserve">Both record types can be produced simultaneously for the same grid event. A fault on a transmission line may produce a fast record from the line protection IED and a slow record from the substation BEN32 in trend mode. Both must be mergeable on a common time axis in PowerWave Analyst.</w:t>
      </w:r>
    </w:p>
    <w:p>
      <w:pPr>
        <w:spacing w:after="120"/>
      </w:pPr>
      <w:r>
        <w:t xml:space="preserve"/>
      </w:r>
    </w:p>
    <w:p>
      <w:pPr>
        <w:pStyle w:val="Heading2"/>
        <w:spacing w:before="280" w:after="120"/>
      </w:pPr>
      <w:r>
        <w:rPr>
          <w:rFonts w:ascii="Arial" w:cs="Arial" w:eastAsia="Arial" w:hAnsi="Arial"/>
          <w:b/>
          <w:bCs/>
          <w:color w:val="2E75B6"/>
          <w:sz w:val="26"/>
          <w:szCs w:val="26"/>
        </w:rPr>
        <w:t xml:space="preserve">1.2 Electrical Quantities in Disturbance Records</w:t>
      </w:r>
    </w:p>
    <w:p>
      <w:pPr>
        <w:pStyle w:val="Heading3"/>
        <w:spacing w:before="200" w:after="80"/>
      </w:pPr>
      <w:r>
        <w:rPr>
          <w:rFonts w:ascii="Arial" w:cs="Arial" w:eastAsia="Arial" w:hAnsi="Arial"/>
          <w:b/>
          <w:bCs/>
          <w:color w:val="444444"/>
          <w:sz w:val="22"/>
          <w:szCs w:val="22"/>
        </w:rPr>
        <w:t xml:space="preserve">1.2.1 Standard Analogue Channels</w:t>
      </w:r>
    </w:p>
    <w:p>
      <w:pPr>
        <w:pStyle w:val="ListParagraph"/>
        <w:numPr>
          <w:ilvl w:val="0"/>
          <w:numId w:val="2"/>
        </w:numPr>
        <w:spacing w:after="80"/>
      </w:pPr>
      <w:r>
        <w:rPr>
          <w:rFonts w:ascii="Arial" w:cs="Arial" w:eastAsia="Arial" w:hAnsi="Arial"/>
          <w:sz w:val="22"/>
          <w:szCs w:val="22"/>
        </w:rPr>
        <w:t xml:space="preserve">Phase voltages: VA/VB/VC or VR/VY/VB — phase-to-earth from VTs</w:t>
      </w:r>
    </w:p>
    <w:p>
      <w:pPr>
        <w:pStyle w:val="ListParagraph"/>
        <w:numPr>
          <w:ilvl w:val="0"/>
          <w:numId w:val="2"/>
        </w:numPr>
        <w:spacing w:after="80"/>
      </w:pPr>
      <w:r>
        <w:rPr>
          <w:rFonts w:ascii="Arial" w:cs="Arial" w:eastAsia="Arial" w:hAnsi="Arial"/>
          <w:sz w:val="22"/>
          <w:szCs w:val="22"/>
        </w:rPr>
        <w:t xml:space="preserve">Line voltages: VAB/VBC/VCA — phase-to-phase measurements</w:t>
      </w:r>
    </w:p>
    <w:p>
      <w:pPr>
        <w:pStyle w:val="ListParagraph"/>
        <w:numPr>
          <w:ilvl w:val="0"/>
          <w:numId w:val="2"/>
        </w:numPr>
        <w:spacing w:after="80"/>
      </w:pPr>
      <w:r>
        <w:rPr>
          <w:rFonts w:ascii="Arial" w:cs="Arial" w:eastAsia="Arial" w:hAnsi="Arial"/>
          <w:sz w:val="22"/>
          <w:szCs w:val="22"/>
        </w:rPr>
        <w:t xml:space="preserve">Residual voltage: VN/V0/3U0 — zero sequence, earth fault indicator</w:t>
      </w:r>
    </w:p>
    <w:p>
      <w:pPr>
        <w:pStyle w:val="ListParagraph"/>
        <w:numPr>
          <w:ilvl w:val="0"/>
          <w:numId w:val="2"/>
        </w:numPr>
        <w:spacing w:after="80"/>
      </w:pPr>
      <w:r>
        <w:rPr>
          <w:rFonts w:ascii="Arial" w:cs="Arial" w:eastAsia="Arial" w:hAnsi="Arial"/>
          <w:sz w:val="22"/>
          <w:szCs w:val="22"/>
        </w:rPr>
        <w:t xml:space="preserve">Phase currents: IA/IB/IC or IR/IY/IB — from CTs</w:t>
      </w:r>
    </w:p>
    <w:p>
      <w:pPr>
        <w:pStyle w:val="ListParagraph"/>
        <w:numPr>
          <w:ilvl w:val="0"/>
          <w:numId w:val="2"/>
        </w:numPr>
        <w:spacing w:after="80"/>
      </w:pPr>
      <w:r>
        <w:rPr>
          <w:rFonts w:ascii="Arial" w:cs="Arial" w:eastAsia="Arial" w:hAnsi="Arial"/>
          <w:sz w:val="22"/>
          <w:szCs w:val="22"/>
        </w:rPr>
        <w:t xml:space="preserve">Earth current: IN/I0/3I0 — neutral/residual current</w:t>
      </w:r>
    </w:p>
    <w:p>
      <w:pPr>
        <w:spacing w:after="120"/>
      </w:pPr>
      <w:r>
        <w:t xml:space="preserve"/>
      </w:r>
    </w:p>
    <w:p>
      <w:pPr>
        <w:pStyle w:val="Heading3"/>
        <w:spacing w:before="200" w:after="80"/>
      </w:pPr>
      <w:r>
        <w:rPr>
          <w:rFonts w:ascii="Arial" w:cs="Arial" w:eastAsia="Arial" w:hAnsi="Arial"/>
          <w:b/>
          <w:bCs/>
          <w:color w:val="444444"/>
          <w:sz w:val="22"/>
          <w:szCs w:val="22"/>
        </w:rPr>
        <w:t xml:space="preserve">1.2.2 Phase Naming Conventions — Both Must Be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2960"/>
      </w:tblGrid>
      <w:tr>
        <w:trPr>
          <w:tblHeader/>
        </w:trPr>
        <w:tc>
          <w:tcPr>
            <w:tcW w:type="dxa" w:w="16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12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 A</w:t>
            </w:r>
          </w:p>
        </w:tc>
        <w:tc>
          <w:tcPr>
            <w:tcW w:type="dxa" w:w="12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 B</w:t>
            </w:r>
          </w:p>
        </w:tc>
        <w:tc>
          <w:tcPr>
            <w:tcW w:type="dxa" w:w="12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 C</w:t>
            </w:r>
          </w:p>
        </w:tc>
        <w:tc>
          <w:tcPr>
            <w:tcW w:type="dxa" w:w="12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Neutral</w:t>
            </w:r>
          </w:p>
        </w:tc>
        <w:tc>
          <w:tcPr>
            <w:tcW w:type="dxa" w:w="296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IEC A/B/C</w:t>
            </w:r>
          </w:p>
        </w:tc>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VA, IA</w:t>
            </w:r>
          </w:p>
        </w:tc>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VB, IB</w:t>
            </w:r>
          </w:p>
        </w:tc>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VC, IC</w:t>
            </w:r>
          </w:p>
        </w:tc>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VN, IN</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ABB, Siemens, Reyrolle, Toshiba, IEC standard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British R/Y/B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VY, IY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VB, 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BEN32, Malaysian TNB grid, UK utilities</w:t>
            </w:r>
          </w:p>
        </w:tc>
      </w:tr>
      <w:tr>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Chinese I/U</w:t>
            </w:r>
          </w:p>
        </w:tc>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Ua, Ia</w:t>
            </w:r>
          </w:p>
        </w:tc>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Ub, Ib</w:t>
            </w:r>
          </w:p>
        </w:tc>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Uc, Ic</w:t>
            </w:r>
          </w:p>
        </w:tc>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3U0, 3I0</w:t>
            </w:r>
          </w:p>
        </w:tc>
        <w:tc>
          <w:tcPr>
            <w:tcW w:type="dxa" w:w="29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NARI, Chinese IED manufacturers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 L1/L2/L3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VL1, IL1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VL2, IL2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VL3, IL3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European IEDs</w:t>
            </w:r>
          </w:p>
        </w:tc>
      </w:tr>
    </w:tbl>
    <w:p>
      <w:pPr>
        <w:spacing w:after="120"/>
      </w:pPr>
      <w:r>
        <w:t xml:space="preserve"/>
      </w:r>
    </w:p>
    <w:p>
      <w:pPr>
        <w:pStyle w:val="Heading3"/>
        <w:spacing w:before="200" w:after="80"/>
      </w:pPr>
      <w:r>
        <w:rPr>
          <w:rFonts w:ascii="Arial" w:cs="Arial" w:eastAsia="Arial" w:hAnsi="Arial"/>
          <w:b/>
          <w:bCs/>
          <w:color w:val="444444"/>
          <w:sz w:val="22"/>
          <w:szCs w:val="22"/>
        </w:rPr>
        <w:t xml:space="preserve">1.2.3 Generator and Mechanical Channels (Slow Records)</w:t>
      </w:r>
    </w:p>
    <w:p>
      <w:pPr>
        <w:spacing w:after="120"/>
      </w:pPr>
      <w:r>
        <w:rPr>
          <w:rFonts w:ascii="Arial" w:cs="Arial" w:eastAsia="Arial" w:hAnsi="Arial"/>
          <w:sz w:val="22"/>
          <w:szCs w:val="22"/>
        </w:rPr>
        <w:t xml:space="preserve">Slow-rate records from generator substations may contain non-electrical quantities alongside standard V and I channels:</w:t>
      </w:r>
    </w:p>
    <w:p>
      <w:pPr>
        <w:pStyle w:val="ListParagraph"/>
        <w:numPr>
          <w:ilvl w:val="0"/>
          <w:numId w:val="2"/>
        </w:numPr>
        <w:spacing w:after="80"/>
      </w:pPr>
      <w:r>
        <w:rPr>
          <w:rFonts w:ascii="Arial" w:cs="Arial" w:eastAsia="Arial" w:hAnsi="Arial"/>
          <w:sz w:val="22"/>
          <w:szCs w:val="22"/>
        </w:rPr>
        <w:t xml:space="preserve">Active power P (MW) — pre-calculated by recorder from V and I, stored as analogue channel</w:t>
      </w:r>
    </w:p>
    <w:p>
      <w:pPr>
        <w:pStyle w:val="ListParagraph"/>
        <w:numPr>
          <w:ilvl w:val="0"/>
          <w:numId w:val="2"/>
        </w:numPr>
        <w:spacing w:after="80"/>
      </w:pPr>
      <w:r>
        <w:rPr>
          <w:rFonts w:ascii="Arial" w:cs="Arial" w:eastAsia="Arial" w:hAnsi="Arial"/>
          <w:sz w:val="22"/>
          <w:szCs w:val="22"/>
        </w:rPr>
        <w:t xml:space="preserve">Reactive power Q (MVAr) — pre-calculated, stored as analogue channel</w:t>
      </w:r>
    </w:p>
    <w:p>
      <w:pPr>
        <w:pStyle w:val="ListParagraph"/>
        <w:numPr>
          <w:ilvl w:val="0"/>
          <w:numId w:val="2"/>
        </w:numPr>
        <w:spacing w:after="80"/>
      </w:pPr>
      <w:r>
        <w:rPr>
          <w:rFonts w:ascii="Arial" w:cs="Arial" w:eastAsia="Arial" w:hAnsi="Arial"/>
          <w:sz w:val="22"/>
          <w:szCs w:val="22"/>
        </w:rPr>
        <w:t xml:space="preserve">System frequency (Hz) — measured from terminal voltage zero crossings</w:t>
      </w:r>
    </w:p>
    <w:p>
      <w:pPr>
        <w:pStyle w:val="ListParagraph"/>
        <w:numPr>
          <w:ilvl w:val="0"/>
          <w:numId w:val="2"/>
        </w:numPr>
        <w:spacing w:after="80"/>
      </w:pPr>
      <w:r>
        <w:rPr>
          <w:rFonts w:ascii="Arial" w:cs="Arial" w:eastAsia="Arial" w:hAnsi="Arial"/>
          <w:sz w:val="22"/>
          <w:szCs w:val="22"/>
        </w:rPr>
        <w:t xml:space="preserve">Field current (A DC) — rotor excitation current, always positive DC value with non-zero CFG offset</w:t>
      </w:r>
    </w:p>
    <w:p>
      <w:pPr>
        <w:pStyle w:val="ListParagraph"/>
        <w:numPr>
          <w:ilvl w:val="0"/>
          <w:numId w:val="2"/>
        </w:numPr>
        <w:spacing w:after="80"/>
      </w:pPr>
      <w:r>
        <w:rPr>
          <w:rFonts w:ascii="Arial" w:cs="Arial" w:eastAsia="Arial" w:hAnsi="Arial"/>
          <w:sz w:val="22"/>
          <w:szCs w:val="22"/>
        </w:rPr>
        <w:t xml:space="preserve">Field voltage (V DC) — rotor excitation voltage, always positive DC with non-zero CFG offset</w:t>
      </w:r>
    </w:p>
    <w:p>
      <w:pPr>
        <w:pStyle w:val="ListParagraph"/>
        <w:numPr>
          <w:ilvl w:val="0"/>
          <w:numId w:val="2"/>
        </w:numPr>
        <w:spacing w:after="80"/>
      </w:pPr>
      <w:r>
        <w:rPr>
          <w:rFonts w:ascii="Arial" w:cs="Arial" w:eastAsia="Arial" w:hAnsi="Arial"/>
          <w:sz w:val="22"/>
          <w:szCs w:val="22"/>
        </w:rPr>
        <w:t xml:space="preserve">Mechanical shaft speed (RPM) — turbine/generator shaft rotation, non-zero CFG offset</w:t>
      </w:r>
    </w:p>
    <w:p>
      <w:pPr>
        <w:pStyle w:val="ListParagraph"/>
        <w:numPr>
          <w:ilvl w:val="0"/>
          <w:numId w:val="2"/>
        </w:numPr>
        <w:spacing w:after="80"/>
      </w:pPr>
      <w:r>
        <w:rPr>
          <w:rFonts w:ascii="Arial" w:cs="Arial" w:eastAsia="Arial" w:hAnsi="Arial"/>
          <w:sz w:val="22"/>
          <w:szCs w:val="22"/>
        </w:rPr>
        <w:t xml:space="preserve">Governor valve position (%) — steam/water flow control position, non-zero CFG offset</w:t>
      </w:r>
    </w:p>
    <w:p>
      <w:pPr>
        <w:pStyle w:val="ListParagraph"/>
        <w:numPr>
          <w:ilvl w:val="0"/>
          <w:numId w:val="2"/>
        </w:numPr>
        <w:spacing w:after="80"/>
      </w:pPr>
      <w:r>
        <w:rPr>
          <w:rFonts w:ascii="Arial" w:cs="Arial" w:eastAsia="Arial" w:hAnsi="Arial"/>
          <w:sz w:val="22"/>
          <w:szCs w:val="22"/>
        </w:rPr>
        <w:t xml:space="preserve">Zero/negative/positive sequence RMS — pre-calculated sequence component magnitudes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5C00" w:sz="6"/>
              <w:left w:val="single" w:color="B85C00" w:sz="6"/>
              <w:bottom w:val="single" w:color="CCCCCC" w:sz="1"/>
              <w:right w:val="single" w:color="CCCCCC" w:sz="1"/>
            </w:tcBorders>
            <w:shd w:fill="FFF4E5" w:val="clear"/>
            <w:tcMar>
              <w:top w:type="dxa" w:w="120"/>
              <w:left w:type="dxa" w:w="180"/>
              <w:bottom w:type="dxa" w:w="120"/>
              <w:right w:type="dxa" w:w="120"/>
            </w:tcMar>
          </w:tcPr>
          <w:p>
            <w:pPr>
              <w:spacing w:after="40"/>
            </w:pPr>
            <w:r>
              <w:rPr>
                <w:rFonts w:ascii="Arial" w:cs="Arial" w:eastAsia="Arial" w:hAnsi="Arial"/>
                <w:b/>
                <w:bCs/>
                <w:color w:val="B85C00"/>
                <w:sz w:val="20"/>
                <w:szCs w:val="20"/>
              </w:rPr>
              <w:t xml:space="preserve">Critical — Non-Zero CFG Offset</w:t>
            </w:r>
          </w:p>
          <w:p>
            <w:pPr>
              <w:spacing w:after="0"/>
            </w:pPr>
            <w:r>
              <w:rPr>
                <w:rFonts w:ascii="Arial" w:cs="Arial" w:eastAsia="Arial" w:hAnsi="Arial"/>
                <w:sz w:val="20"/>
                <w:szCs w:val="20"/>
              </w:rPr>
              <w:t xml:space="preserve">All DC and mechanical channels have a non-zero offset field in the CFG analogue channel definition. The physical value formula physical = (raw × multiplier) + offset MUST always be applied. If offset is ignored, field current reads approximately -1875A instead of its true positive value. This applies to MW and MVAr channels too in some recorder configurations.</w:t>
            </w:r>
          </w:p>
        </w:tc>
      </w:tr>
    </w:tbl>
    <w:p>
      <w:pPr>
        <w:spacing w:after="120"/>
      </w:pPr>
      <w:r>
        <w:t xml:space="preserve"/>
      </w:r>
    </w:p>
    <w:p>
      <w:pPr>
        <w:pStyle w:val="Heading2"/>
        <w:spacing w:before="280" w:after="120"/>
      </w:pPr>
      <w:r>
        <w:rPr>
          <w:rFonts w:ascii="Arial" w:cs="Arial" w:eastAsia="Arial" w:hAnsi="Arial"/>
          <w:b/>
          <w:bCs/>
          <w:color w:val="2E75B6"/>
          <w:sz w:val="26"/>
          <w:szCs w:val="26"/>
        </w:rPr>
        <w:t xml:space="preserve">1.3 IED Vendor Knowledge — Confirmed from Real Files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600"/>
        <w:gridCol w:w="2160"/>
      </w:tblGrid>
      <w:tr>
        <w:trPr>
          <w:tblHeader/>
        </w:trPr>
        <w:tc>
          <w:tcPr>
            <w:tcW w:type="dxa" w:w="16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22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Common Models</w:t>
            </w:r>
          </w:p>
        </w:tc>
        <w:tc>
          <w:tcPr>
            <w:tcW w:type="dxa" w:w="20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Naming Convention</w:t>
            </w:r>
          </w:p>
        </w:tc>
        <w:tc>
          <w:tcPr>
            <w:tcW w:type="dxa" w:w="16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CFG Format</w:t>
            </w:r>
          </w:p>
        </w:tc>
        <w:tc>
          <w:tcPr>
            <w:tcW w:type="dxa" w:w="216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Known Quirks</w:t>
            </w:r>
          </w:p>
        </w:tc>
      </w:tr>
      <w:tr>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BEN32 (Qualitrol/Dranetz)</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Standalone fault recorder</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R/Y/B phases. Bay-prefix format: BAYNAME SIGNAL</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1999 (fast). May show calendar year e.g.2005 for slow records → parse as 1999</w:t>
            </w:r>
          </w:p>
        </w:tc>
        <w:tc>
          <w:tcPr>
            <w:tcW w:type="dxa" w:w="2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Multi-bay: one file has all substation bays. Digital names are qualifier-first: OVER UR BAYNAME. Analogue has 13 fields. Digital has 5 fields.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NSR series protection relays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Chinese IEC: Ia/Ib/Ic, Ua/Ub/Uc, 3I0, 3U0, Ux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1999 (line 1 omits rev year — must default)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10 analogue fields — no primary/secondary/PS. Only 3 digital fields. Multi-rate common: 1200Hz+600Hz. Digital prefixes: Op_=trip, BI_=binary input, VEBI_=virtual input.</w:t>
            </w:r>
          </w:p>
        </w:tc>
      </w:tr>
      <w:tr>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ABB</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REL670, REC670, RED670, REF615</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Standard IEC A/B/C. May have underscore suffix</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1999 or 2013</w:t>
            </w:r>
          </w:p>
        </w:tc>
        <w:tc>
          <w:tcPr>
            <w:tcW w:type="dxa" w:w="2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Underscore suffix naming e.g. IL1_ABB. Multiplier scaling occasionally non-standard. Well-formed CFG otherwise.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SIPROTEC 4/5, 7SA, 7SL, 7SD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IEC A/B/C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1999 or 2013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Microsecond timestamp precision. High digital channel count. Very clean CFG — rarely needs mapping dialog.</w:t>
            </w:r>
          </w:p>
        </w:tc>
      </w:tr>
      <w:tr>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GE / GE Grid</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L90, D60, T60, B90</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Standard IEC</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1991 or 1999</w:t>
            </w:r>
          </w:p>
        </w:tc>
        <w:tc>
          <w:tcPr>
            <w:tcW w:type="dxa" w:w="2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May use older 1991 format. Verify P/S flag carefully for primary/secondary values.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 (Schweitzer)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SEL-421, SEL-311, SEL-387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 proprietary labels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Non-standard labels. Sometimes exports CSV alongside COMTRADE. Mapping dialog commonly needed.</w:t>
            </w:r>
          </w:p>
        </w:tc>
      </w:tr>
      <w:tr>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Reyrolle (Siemens)</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Argus, Duobias, Quadramho</w:t>
            </w:r>
          </w:p>
        </w:tc>
        <w:tc>
          <w:tcPr>
            <w:tcW w:type="dxa" w:w="2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Standard IEC A/B/C, descriptive English</w:t>
            </w:r>
          </w:p>
        </w:tc>
        <w:tc>
          <w:tcPr>
            <w:tcW w:type="dxa" w:w="16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1999</w:t>
            </w:r>
          </w:p>
        </w:tc>
        <w:tc>
          <w:tcPr>
            <w:tcW w:type="dxa" w:w="2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Now part of Siemens. Standard well-formed COMTRADE. Descriptive English channel names work well with mapping dialog.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Toshiba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GRL series, GRB series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IEC A/B/C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1999 or 2013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standard COMTRADE. Station name field may contain Japanese characters — UTF-8 encoding required.</w:t>
            </w:r>
          </w:p>
        </w:tc>
      </w:tr>
    </w:tbl>
    <w:p>
      <w:pPr>
        <w:spacing w:after="120"/>
      </w:pPr>
      <w:r>
        <w:t xml:space="preserve"/>
      </w:r>
    </w:p>
    <w:p>
      <w:pPr>
        <w:pStyle w:val="Heading2"/>
        <w:spacing w:before="280" w:after="120"/>
      </w:pPr>
      <w:r>
        <w:rPr>
          <w:rFonts w:ascii="Arial" w:cs="Arial" w:eastAsia="Arial" w:hAnsi="Arial"/>
          <w:b/>
          <w:bCs/>
          <w:color w:val="2E75B6"/>
          <w:sz w:val="26"/>
          <w:szCs w:val="26"/>
        </w:rPr>
        <w:t xml:space="preserve">1.4 Compatibility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6"/>
              <w:bottom w:val="single" w:color="CCCCCC" w:sz="1"/>
              <w:right w:val="single" w:color="CCCCCC" w:sz="1"/>
            </w:tcBorders>
            <w:shd w:fill="E8F0FB" w:val="clear"/>
            <w:tcMar>
              <w:top w:type="dxa" w:w="120"/>
              <w:left w:type="dxa" w:w="180"/>
              <w:bottom w:type="dxa" w:w="120"/>
              <w:right w:type="dxa" w:w="120"/>
            </w:tcMar>
          </w:tcPr>
          <w:p>
            <w:pPr>
              <w:spacing w:after="40"/>
            </w:pPr>
            <w:r>
              <w:rPr>
                <w:rFonts w:ascii="Arial" w:cs="Arial" w:eastAsia="Arial" w:hAnsi="Arial"/>
                <w:b/>
                <w:bCs/>
                <w:color w:val="1B4F8A"/>
                <w:sz w:val="20"/>
                <w:szCs w:val="20"/>
              </w:rPr>
              <w:t xml:space="preserve">Core Compatibility Rule</w:t>
            </w:r>
          </w:p>
          <w:p>
            <w:pPr>
              <w:spacing w:after="0"/>
            </w:pPr>
            <w:r>
              <w:rPr>
                <w:rFonts w:ascii="Arial" w:cs="Arial" w:eastAsia="Arial" w:hAnsi="Arial"/>
                <w:sz w:val="20"/>
                <w:szCs w:val="20"/>
              </w:rPr>
              <w:t xml:space="preserve">PowerWave Analyst targets full COMTRADE standard compliance, not vendor-specific implementations. Any CFG/DAT file conforming to COMTRADE 1991, 1999, or 2013 must load correctly regardless of manufacturer. For non-standard quirks: safe field-count parsing handles structural differences. The channel mapping dialog handles naming differences. No vendor should ever cause a crash — only a mapping dialog at worst.</w:t>
            </w:r>
          </w:p>
        </w:tc>
      </w:tr>
    </w:tbl>
    <w:p>
      <w:pPr>
        <w:spacing w:after="120"/>
      </w:pPr>
      <w:r>
        <w:t xml:space="preserve"/>
      </w:r>
    </w:p>
    <w:p>
      <w:pPr>
        <w:spacing w:after="120"/>
      </w:pPr>
      <w:r>
        <w:rPr>
          <w:rFonts w:ascii="Arial" w:cs="Arial" w:eastAsia="Arial" w:hAnsi="Arial"/>
          <w:sz w:val="22"/>
          <w:szCs w:val="22"/>
        </w:rPr>
        <w:t xml:space="preserve">All vendor quirks in existence fall into a small finite set of categories already handled by the parser and detection engine:</w:t>
      </w:r>
    </w:p>
    <w:p>
      <w:pPr>
        <w:pStyle w:val="ListParagraph"/>
        <w:numPr>
          <w:ilvl w:val="0"/>
          <w:numId w:val="2"/>
        </w:numPr>
        <w:spacing w:after="80"/>
      </w:pPr>
      <w:r>
        <w:rPr>
          <w:rFonts w:ascii="Arial" w:cs="Arial" w:eastAsia="Arial" w:hAnsi="Arial"/>
          <w:sz w:val="22"/>
          <w:szCs w:val="22"/>
        </w:rPr>
        <w:t xml:space="preserve">Structural quirks: missing fields, short analogue line, short digital line, missing rev year, invalid rev year</w:t>
      </w:r>
    </w:p>
    <w:p>
      <w:pPr>
        <w:pStyle w:val="ListParagraph"/>
        <w:numPr>
          <w:ilvl w:val="0"/>
          <w:numId w:val="2"/>
        </w:numPr>
        <w:spacing w:after="80"/>
      </w:pPr>
      <w:r>
        <w:rPr>
          <w:rFonts w:ascii="Arial" w:cs="Arial" w:eastAsia="Arial" w:hAnsi="Arial"/>
          <w:sz w:val="22"/>
          <w:szCs w:val="22"/>
        </w:rPr>
        <w:t xml:space="preserve">Naming quirks: phase convention (R/Y/B vs A/B/C vs a/b/c), prefix/suffix patterns, language-specific labels</w:t>
      </w:r>
    </w:p>
    <w:p>
      <w:pPr>
        <w:pStyle w:val="ListParagraph"/>
        <w:numPr>
          <w:ilvl w:val="0"/>
          <w:numId w:val="2"/>
        </w:numPr>
        <w:spacing w:after="80"/>
      </w:pPr>
      <w:r>
        <w:rPr>
          <w:rFonts w:ascii="Arial" w:cs="Arial" w:eastAsia="Arial" w:hAnsi="Arial"/>
          <w:sz w:val="22"/>
          <w:szCs w:val="22"/>
        </w:rPr>
        <w:t xml:space="preserve">Scaling quirks: non-zero offsets on DC channels, primary vs secondary value storage, unusual multipliers</w:t>
      </w:r>
    </w:p>
    <w:p>
      <w:pPr>
        <w:pStyle w:val="ListParagraph"/>
        <w:numPr>
          <w:ilvl w:val="0"/>
          <w:numId w:val="2"/>
        </w:numPr>
        <w:spacing w:after="80"/>
      </w:pPr>
      <w:r>
        <w:rPr>
          <w:rFonts w:ascii="Arial" w:cs="Arial" w:eastAsia="Arial" w:hAnsi="Arial"/>
          <w:sz w:val="22"/>
          <w:szCs w:val="22"/>
        </w:rPr>
        <w:t xml:space="preserve">Format quirks: multi-rate sampling, COMTRADE 1991 vs 1999 vs 2013 features</w:t>
      </w:r>
    </w:p>
    <w:p>
      <w:pPr>
        <w:pStyle w:val="ListParagraph"/>
        <w:numPr>
          <w:ilvl w:val="0"/>
          <w:numId w:val="2"/>
        </w:numPr>
        <w:spacing w:after="80"/>
      </w:pPr>
      <w:r>
        <w:rPr>
          <w:rFonts w:ascii="Arial" w:cs="Arial" w:eastAsia="Arial" w:hAnsi="Arial"/>
          <w:sz w:val="22"/>
          <w:szCs w:val="22"/>
        </w:rPr>
        <w:t xml:space="preserve">Residual quirks: everything else → handled by channel mapping dialog + mapping profile save/recall</w:t>
      </w:r>
    </w:p>
    <w:p>
      <w:pPr>
        <w:spacing w:after="120"/>
      </w:pPr>
      <w:r>
        <w:t xml:space="preserve"/>
      </w:r>
    </w:p>
    <w:p>
      <w:pPr>
        <w:pStyle w:val="Heading2"/>
        <w:spacing w:before="280" w:after="120"/>
      </w:pPr>
      <w:r>
        <w:rPr>
          <w:rFonts w:ascii="Arial" w:cs="Arial" w:eastAsia="Arial" w:hAnsi="Arial"/>
          <w:b/>
          <w:bCs/>
          <w:color w:val="2E75B6"/>
          <w:sz w:val="26"/>
          <w:szCs w:val="26"/>
        </w:rPr>
        <w:t xml:space="preserve">1.5 Malaysian Grid PMU Data</w:t>
      </w:r>
    </w:p>
    <w:p>
      <w:pPr>
        <w:spacing w:after="120"/>
      </w:pPr>
      <w:r>
        <w:rPr>
          <w:rFonts w:ascii="Arial" w:cs="Arial" w:eastAsia="Arial" w:hAnsi="Arial"/>
          <w:sz w:val="22"/>
          <w:szCs w:val="22"/>
        </w:rPr>
        <w:t xml:space="preserve">PMU (Phasor Measurement Unit) CSV exports from the Malaysian TNB grid follow a specific format confirmed from real files:</w:t>
      </w:r>
    </w:p>
    <w:p>
      <w:pPr>
        <w:pStyle w:val="ListParagraph"/>
        <w:numPr>
          <w:ilvl w:val="0"/>
          <w:numId w:val="2"/>
        </w:numPr>
        <w:spacing w:after="80"/>
      </w:pPr>
      <w:r>
        <w:rPr>
          <w:rFonts w:ascii="Arial" w:cs="Arial" w:eastAsia="Arial" w:hAnsi="Arial"/>
          <w:sz w:val="22"/>
          <w:szCs w:val="22"/>
        </w:rPr>
        <w:t xml:space="preserve">File metadata: first row starts with 'ID: NNN, Station Name: XXXXX' — not column headers</w:t>
      </w:r>
    </w:p>
    <w:p>
      <w:pPr>
        <w:pStyle w:val="ListParagraph"/>
        <w:numPr>
          <w:ilvl w:val="0"/>
          <w:numId w:val="2"/>
        </w:numPr>
        <w:spacing w:after="80"/>
      </w:pPr>
      <w:r>
        <w:rPr>
          <w:rFonts w:ascii="Arial" w:cs="Arial" w:eastAsia="Arial" w:hAnsi="Arial"/>
          <w:sz w:val="22"/>
          <w:szCs w:val="22"/>
        </w:rPr>
        <w:t xml:space="preserve">Column header row: always starts with 'Date' — found dynamically, never assumed at row 1</w:t>
      </w:r>
    </w:p>
    <w:p>
      <w:pPr>
        <w:pStyle w:val="ListParagraph"/>
        <w:numPr>
          <w:ilvl w:val="0"/>
          <w:numId w:val="2"/>
        </w:numPr>
        <w:spacing w:after="80"/>
      </w:pPr>
      <w:r>
        <w:rPr>
          <w:rFonts w:ascii="Arial" w:cs="Arial" w:eastAsia="Arial" w:hAnsi="Arial"/>
          <w:sz w:val="22"/>
          <w:szCs w:val="22"/>
        </w:rPr>
        <w:t xml:space="preserve">Timestamp: 'Time (Asia/Singapore)' column — Singapore Time (SGT = UTC+8) — MUST convert to UTC</w:t>
      </w:r>
    </w:p>
    <w:p>
      <w:pPr>
        <w:pStyle w:val="ListParagraph"/>
        <w:numPr>
          <w:ilvl w:val="0"/>
          <w:numId w:val="2"/>
        </w:numPr>
        <w:spacing w:after="80"/>
      </w:pPr>
      <w:r>
        <w:rPr>
          <w:rFonts w:ascii="Arial" w:cs="Arial" w:eastAsia="Arial" w:hAnsi="Arial"/>
          <w:sz w:val="22"/>
          <w:szCs w:val="22"/>
        </w:rPr>
        <w:t xml:space="preserve">Voltage: stored in raw Volts, not kV — divide by 1000. Station name prefix = nominal kV level</w:t>
      </w:r>
    </w:p>
    <w:p>
      <w:pPr>
        <w:pStyle w:val="ListParagraph"/>
        <w:numPr>
          <w:ilvl w:val="0"/>
          <w:numId w:val="2"/>
        </w:numPr>
        <w:spacing w:after="80"/>
      </w:pPr>
      <w:r>
        <w:rPr>
          <w:rFonts w:ascii="Arial" w:cs="Arial" w:eastAsia="Arial" w:hAnsi="Arial"/>
          <w:sz w:val="22"/>
          <w:szCs w:val="22"/>
        </w:rPr>
        <w:t xml:space="preserve">Column prefixes: signal columns may be prefixed with unit/bay ID e.g. 'UNIT2_V1 Magnitude'</w:t>
      </w:r>
    </w:p>
    <w:p>
      <w:pPr>
        <w:pStyle w:val="ListParagraph"/>
        <w:numPr>
          <w:ilvl w:val="0"/>
          <w:numId w:val="2"/>
        </w:numPr>
        <w:spacing w:after="80"/>
      </w:pPr>
      <w:r>
        <w:rPr>
          <w:rFonts w:ascii="Arial" w:cs="Arial" w:eastAsia="Arial" w:hAnsi="Arial"/>
          <w:sz w:val="22"/>
          <w:szCs w:val="22"/>
        </w:rPr>
        <w:t xml:space="preserve">Data: positive sequence phasors only (V1 magnitude/angle, I1 magnitude/angle, frequency, df/dt)</w:t>
      </w:r>
    </w:p>
    <w:p>
      <w:pPr>
        <w:pStyle w:val="ListParagraph"/>
        <w:numPr>
          <w:ilvl w:val="0"/>
          <w:numId w:val="2"/>
        </w:numPr>
        <w:spacing w:after="80"/>
      </w:pPr>
      <w:r>
        <w:rPr>
          <w:rFonts w:ascii="Arial" w:cs="Arial" w:eastAsia="Arial" w:hAnsi="Arial"/>
          <w:sz w:val="22"/>
          <w:szCs w:val="22"/>
        </w:rPr>
        <w:t xml:space="preserve">Report rate: 50 frames/second confirmed (0.020 second between rows)</w:t>
      </w:r>
    </w:p>
    <w:p>
      <w:pPr>
        <w:pStyle w:val="ListParagraph"/>
        <w:numPr>
          <w:ilvl w:val="0"/>
          <w:numId w:val="2"/>
        </w:numPr>
        <w:spacing w:after="80"/>
      </w:pPr>
      <w:r>
        <w:rPr>
          <w:rFonts w:ascii="Arial" w:cs="Arial" w:eastAsia="Arial" w:hAnsi="Arial"/>
          <w:sz w:val="22"/>
          <w:szCs w:val="22"/>
        </w:rPr>
        <w:t xml:space="preserve">Broken timestamps: some PMU units produce malformed time strings — detect and flag as LOW quality</w:t>
      </w:r>
    </w:p>
    <w:p>
      <w:pPr>
        <w:pStyle w:val="ListParagraph"/>
        <w:numPr>
          <w:ilvl w:val="0"/>
          <w:numId w:val="2"/>
        </w:numPr>
        <w:spacing w:after="80"/>
      </w:pPr>
      <w:r>
        <w:rPr>
          <w:rFonts w:ascii="Arial" w:cs="Arial" w:eastAsia="Arial" w:hAnsi="Arial"/>
          <w:sz w:val="22"/>
          <w:szCs w:val="22"/>
        </w:rPr>
        <w:t xml:space="preserve">Same event: multiple PMU files and COMTRADE records may all record the same grid disturbance</w:t>
      </w:r>
    </w:p>
    <w:p>
      <w:pPr>
        <w:spacing w:after="120"/>
      </w:pPr>
      <w:r>
        <w:t xml:space="preserve"/>
      </w:r>
    </w:p>
    <w:p>
      <w:pPr>
        <w:pageBreakBefore/>
      </w:pPr>
      <w:r>
        <w:t xml:space="preserve"/>
      </w:r>
    </w:p>
    <w:p>
      <w:pPr>
        <w:pStyle w:val="Heading1"/>
        <w:spacing w:before="360" w:after="160"/>
      </w:pPr>
      <w:r>
        <w:rPr>
          <w:rFonts w:ascii="Arial" w:cs="Arial" w:eastAsia="Arial" w:hAnsi="Arial"/>
          <w:b/>
          <w:bCs/>
          <w:color w:val="1B4F8A"/>
          <w:sz w:val="32"/>
          <w:szCs w:val="32"/>
        </w:rPr>
        <w:t xml:space="preserve">2. COMTRADE Standard Knowledge</w:t>
      </w:r>
    </w:p>
    <w:p>
      <w:pPr>
        <w:pStyle w:val="Heading2"/>
        <w:spacing w:before="280" w:after="120"/>
      </w:pPr>
      <w:r>
        <w:rPr>
          <w:rFonts w:ascii="Arial" w:cs="Arial" w:eastAsia="Arial" w:hAnsi="Arial"/>
          <w:b/>
          <w:bCs/>
          <w:color w:val="2E75B6"/>
          <w:sz w:val="26"/>
          <w:szCs w:val="26"/>
        </w:rPr>
        <w:t xml:space="preserve">2.1 Supported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380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3160"/>
            <w:tcBorders>
              <w:top w:val="single" w:color="1B4F8A" w:sz="4"/>
              <w:left w:val="single" w:color="1B4F8A" w:sz="4"/>
              <w:bottom w:val="single" w:color="1B4F8A" w:sz="4"/>
              <w:right w:val="single" w:color="1B4F8A" w:sz="4"/>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Typical Vendors</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IEEE C37.111-1991</w:t>
            </w:r>
          </w:p>
        </w:tc>
        <w:tc>
          <w:tcPr>
            <w:tcW w:type="dxa" w:w="3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ASCII DAT only. Limited header. No time zone. Older devices.</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GE older models, legacy IEDs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IEEE C37.111-1999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DAT option. Improved header. Rate-of-change info. Most common.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modern IEDs, BEN32, NARI, ABB, Siemens</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IEEE C37.111-2013</w:t>
            </w:r>
          </w:p>
        </w:tc>
        <w:tc>
          <w:tcPr>
            <w:tcW w:type="dxa" w:w="3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Multiple sampling rates. CFF single-file. Nanosecond timestamps. Extended channels.</w:t>
            </w:r>
          </w:p>
        </w:tc>
        <w:tc>
          <w:tcPr>
            <w:tcW w:type="dxa" w:w="3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0"/>
                <w:szCs w:val="20"/>
              </w:rPr>
              <w:t xml:space="preserve">ABB REL670, Siemens SIPROTEC 5, modern IEDs</w:t>
            </w:r>
          </w:p>
        </w:tc>
      </w:tr>
    </w:tbl>
    <w:p>
      <w:pPr>
        <w:spacing w:after="120"/>
      </w:pPr>
      <w:r>
        <w:t xml:space="preserve"/>
      </w:r>
    </w:p>
    <w:p>
      <w:pPr>
        <w:pStyle w:val="Heading2"/>
        <w:spacing w:before="280" w:after="120"/>
      </w:pPr>
      <w:r>
        <w:rPr>
          <w:rFonts w:ascii="Arial" w:cs="Arial" w:eastAsia="Arial" w:hAnsi="Arial"/>
          <w:b/>
          <w:bCs/>
          <w:color w:val="2E75B6"/>
          <w:sz w:val="26"/>
          <w:szCs w:val="26"/>
        </w:rPr>
        <w:t xml:space="preserve">2.2 CFG File Structure — Safe Parsing Rules</w:t>
      </w:r>
    </w:p>
    <w:p>
      <w:pPr>
        <w:pStyle w:val="ListParagraph"/>
        <w:numPr>
          <w:ilvl w:val="0"/>
          <w:numId w:val="3"/>
        </w:numPr>
        <w:spacing w:after="80"/>
      </w:pPr>
      <w:r>
        <w:rPr>
          <w:rFonts w:ascii="Arial" w:cs="Arial" w:eastAsia="Arial" w:hAnsi="Arial"/>
          <w:sz w:val="22"/>
          <w:szCs w:val="22"/>
        </w:rPr>
        <w:t xml:space="preserve">Line 1: station_name, rec_dev_id [, rev_year] — rev_year is OPTIONAL. Default to 1999 if absent or invalid.</w:t>
      </w:r>
    </w:p>
    <w:p>
      <w:pPr>
        <w:pStyle w:val="ListParagraph"/>
        <w:numPr>
          <w:ilvl w:val="0"/>
          <w:numId w:val="3"/>
        </w:numPr>
        <w:spacing w:after="80"/>
      </w:pPr>
      <w:r>
        <w:rPr>
          <w:rFonts w:ascii="Arial" w:cs="Arial" w:eastAsia="Arial" w:hAnsi="Arial"/>
          <w:sz w:val="22"/>
          <w:szCs w:val="22"/>
        </w:rPr>
        <w:t xml:space="preserve">Line 2: TT, ##A, ##D — total channels, analogue count, digital count</w:t>
      </w:r>
    </w:p>
    <w:p>
      <w:pPr>
        <w:pStyle w:val="ListParagraph"/>
        <w:numPr>
          <w:ilvl w:val="0"/>
          <w:numId w:val="3"/>
        </w:numPr>
        <w:spacing w:after="80"/>
      </w:pPr>
      <w:r>
        <w:rPr>
          <w:rFonts w:ascii="Arial" w:cs="Arial" w:eastAsia="Arial" w:hAnsi="Arial"/>
          <w:sz w:val="22"/>
          <w:szCs w:val="22"/>
        </w:rPr>
        <w:t xml:space="preserve">Analogue lines: 10 fields minimum (NARI) to 13 fields maximum (BEN32/ABB/Siemens). Parse safely by field count.</w:t>
      </w:r>
    </w:p>
    <w:p>
      <w:pPr>
        <w:pStyle w:val="ListParagraph"/>
        <w:numPr>
          <w:ilvl w:val="0"/>
          <w:numId w:val="3"/>
        </w:numPr>
        <w:spacing w:after="80"/>
      </w:pPr>
      <w:r>
        <w:rPr>
          <w:rFonts w:ascii="Arial" w:cs="Arial" w:eastAsia="Arial" w:hAnsi="Arial"/>
          <w:sz w:val="22"/>
          <w:szCs w:val="22"/>
        </w:rPr>
        <w:t xml:space="preserve">Digital lines: 3 fields minimum (NARI) to 5 fields maximum (BEN32/ABB). Parse safely by field count.</w:t>
      </w:r>
    </w:p>
    <w:p>
      <w:pPr>
        <w:pStyle w:val="ListParagraph"/>
        <w:numPr>
          <w:ilvl w:val="0"/>
          <w:numId w:val="3"/>
        </w:numPr>
        <w:spacing w:after="80"/>
      </w:pPr>
      <w:r>
        <w:rPr>
          <w:rFonts w:ascii="Arial" w:cs="Arial" w:eastAsia="Arial" w:hAnsi="Arial"/>
          <w:sz w:val="22"/>
          <w:szCs w:val="22"/>
        </w:rPr>
        <w:t xml:space="preserve">Nominal frequency line: 50 or 60 only</w:t>
      </w:r>
    </w:p>
    <w:p>
      <w:pPr>
        <w:pStyle w:val="ListParagraph"/>
        <w:numPr>
          <w:ilvl w:val="0"/>
          <w:numId w:val="3"/>
        </w:numPr>
        <w:spacing w:after="80"/>
      </w:pPr>
      <w:r>
        <w:rPr>
          <w:rFonts w:ascii="Arial" w:cs="Arial" w:eastAsia="Arial" w:hAnsi="Arial"/>
          <w:sz w:val="22"/>
          <w:szCs w:val="22"/>
        </w:rPr>
        <w:t xml:space="preserve">Sample rate sections: one or more lines of 'rate,end_sample'. Multi-rate builds non-uniform time array.</w:t>
      </w:r>
    </w:p>
    <w:p>
      <w:pPr>
        <w:pStyle w:val="ListParagraph"/>
        <w:numPr>
          <w:ilvl w:val="0"/>
          <w:numId w:val="3"/>
        </w:numPr>
        <w:spacing w:after="80"/>
      </w:pPr>
      <w:r>
        <w:rPr>
          <w:rFonts w:ascii="Arial" w:cs="Arial" w:eastAsia="Arial" w:hAnsi="Arial"/>
          <w:sz w:val="22"/>
          <w:szCs w:val="22"/>
        </w:rPr>
        <w:t xml:space="preserve">Timestamps: dd/mm/yyyy,hh:mm:ss.ssssss format. Both LF and CRLF line endings tolerated.</w:t>
      </w:r>
    </w:p>
    <w:p>
      <w:pPr>
        <w:pStyle w:val="ListParagraph"/>
        <w:numPr>
          <w:ilvl w:val="0"/>
          <w:numId w:val="3"/>
        </w:numPr>
        <w:spacing w:after="80"/>
      </w:pPr>
      <w:r>
        <w:rPr>
          <w:rFonts w:ascii="Arial" w:cs="Arial" w:eastAsia="Arial" w:hAnsi="Arial"/>
          <w:sz w:val="22"/>
          <w:szCs w:val="22"/>
        </w:rPr>
        <w:t xml:space="preserve">DAT format: ASCII | BINARY | BINARY32 | FLOAT32</w:t>
      </w:r>
    </w:p>
    <w:p>
      <w:pPr>
        <w:spacing w:after="120"/>
      </w:pPr>
      <w:r>
        <w:t xml:space="preserve"/>
      </w:r>
    </w:p>
    <w:p>
      <w:pPr>
        <w:pStyle w:val="Heading2"/>
        <w:spacing w:before="280" w:after="120"/>
      </w:pPr>
      <w:r>
        <w:rPr>
          <w:rFonts w:ascii="Arial" w:cs="Arial" w:eastAsia="Arial" w:hAnsi="Arial"/>
          <w:b/>
          <w:bCs/>
          <w:color w:val="2E75B6"/>
          <w:sz w:val="26"/>
          <w:szCs w:val="26"/>
        </w:rPr>
        <w:t xml:space="preserve">2.3 Physical Value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6"/>
              <w:bottom w:val="single" w:color="CCCCCC" w:sz="1"/>
              <w:right w:val="single" w:color="CCCCCC" w:sz="1"/>
            </w:tcBorders>
            <w:shd w:fill="E8F0FB" w:val="clear"/>
            <w:tcMar>
              <w:top w:type="dxa" w:w="120"/>
              <w:left w:type="dxa" w:w="180"/>
              <w:bottom w:type="dxa" w:w="120"/>
              <w:right w:type="dxa" w:w="120"/>
            </w:tcMar>
          </w:tcPr>
          <w:p>
            <w:pPr>
              <w:spacing w:after="40"/>
            </w:pPr>
            <w:r>
              <w:rPr>
                <w:rFonts w:ascii="Arial" w:cs="Arial" w:eastAsia="Arial" w:hAnsi="Arial"/>
                <w:b/>
                <w:bCs/>
                <w:color w:val="1B4F8A"/>
                <w:sz w:val="20"/>
                <w:szCs w:val="20"/>
              </w:rPr>
              <w:t xml:space="preserve">Universal Formula — Apply to Every Analogue Channel Without Exception</w:t>
            </w:r>
          </w:p>
          <w:p>
            <w:pPr>
              <w:spacing w:after="0"/>
            </w:pPr>
            <w:r>
              <w:rPr>
                <w:rFonts w:ascii="Arial" w:cs="Arial" w:eastAsia="Arial" w:hAnsi="Arial"/>
                <w:sz w:val="20"/>
                <w:szCs w:val="20"/>
              </w:rPr>
              <w:t xml:space="preserve">physical_value = (raw_integer × multiplier_A) + offset_B
Offset is zero for AC voltage and current channels.
Offset is NON-ZERO for DC quantities (field current, field voltage) and mechanical quantities (RPM, valve %).
Never skip offset calculation even when it appears to be zero — apply uniformly to all channels.</w:t>
            </w:r>
          </w:p>
        </w:tc>
      </w:tr>
    </w:tbl>
    <w:p>
      <w:pPr>
        <w:spacing w:after="12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pBdr>
      <w:tabs>
        <w:tab w:val="right" w:pos="9360"/>
      </w:tabs>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PowerWave Analyst Project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pBdr>
      <w:tabs>
        <w:tab w:val="right" w:pos="9360"/>
      </w:tabs>
    </w:pPr>
    <w:r>
      <w:rPr>
        <w:rFonts w:ascii="Arial" w:cs="Arial" w:eastAsia="Arial" w:hAnsi="Arial"/>
        <w:color w:val="1B4F8A"/>
        <w:sz w:val="18"/>
        <w:szCs w:val="18"/>
      </w:rPr>
      <w:t xml:space="preserve">PowerWave Analyst — Document 1 — Skills &amp; Knowledge Base (Rev 2)</w:t>
    </w:r>
    <w:r>
      <w:rPr>
        <w:rFonts w:ascii="Arial" w:cs="Arial" w:eastAsia="Arial" w:hAnsi="Arial"/>
        <w:color w:val="888888"/>
        <w:sz w:val="16"/>
        <w:szCs w:val="16"/>
      </w:rPr>
      <w:t xml:space="preserve">	CONFIDENTIAL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8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2026-04-02T04:25:43.699Z</dcterms:created>
  <dcterms:modified xsi:type="dcterms:W3CDTF">2026-04-02T04:25:43.700Z</dcterms:modified>
</cp:coreProperties>
</file>

<file path=docProps/custom.xml><?xml version="1.0" encoding="utf-8"?>
<Properties xmlns="http://schemas.openxmlformats.org/officeDocument/2006/custom-properties" xmlns:vt="http://schemas.openxmlformats.org/officeDocument/2006/docPropsVTypes"/>
</file>