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315" w:type="dxa"/>
        <w:tblCellMar>
          <w:top w:w="15" w:type="dxa"/>
          <w:left w:w="15" w:type="dxa"/>
          <w:bottom w:w="15" w:type="dxa"/>
          <w:right w:w="15" w:type="dxa"/>
        </w:tblCellMar>
        <w:tblLook w:val="04A0"/>
      </w:tblPr>
      <w:tblGrid>
        <w:gridCol w:w="5979"/>
        <w:gridCol w:w="1584"/>
        <w:gridCol w:w="1584"/>
        <w:gridCol w:w="1584"/>
        <w:gridCol w:w="1584"/>
      </w:tblGrid>
      <w:tr w:rsidR="00E01863" w:rsidRPr="00E01863" w:rsidTr="00E01863">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color w:val="333333"/>
                <w:sz w:val="21"/>
                <w:szCs w:val="21"/>
              </w:rPr>
            </w:pPr>
            <w:r w:rsidRPr="00E01863">
              <w:rPr>
                <w:rFonts w:ascii="LatoLatinWeb" w:eastAsia="Times New Roman" w:hAnsi="LatoLatinWeb" w:cs="Times New Roman"/>
                <w:color w:val="333333"/>
                <w:sz w:val="21"/>
                <w:szCs w:val="21"/>
              </w:rPr>
              <w:t>Dvokrevetna po osobi</w:t>
            </w:r>
          </w:p>
        </w:tc>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b/>
                <w:bCs/>
                <w:color w:val="333333"/>
                <w:sz w:val="21"/>
                <w:szCs w:val="21"/>
              </w:rPr>
            </w:pPr>
            <w:r w:rsidRPr="00E01863">
              <w:rPr>
                <w:rFonts w:ascii="LatoLatinWeb" w:eastAsia="Times New Roman" w:hAnsi="LatoLatinWeb" w:cs="Times New Roman"/>
                <w:b/>
                <w:bCs/>
                <w:color w:val="333333"/>
                <w:sz w:val="21"/>
                <w:szCs w:val="21"/>
              </w:rPr>
              <w:t>74</w:t>
            </w:r>
          </w:p>
        </w:tc>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b/>
                <w:bCs/>
                <w:color w:val="333333"/>
                <w:sz w:val="21"/>
                <w:szCs w:val="21"/>
              </w:rPr>
            </w:pPr>
            <w:r w:rsidRPr="00E01863">
              <w:rPr>
                <w:rFonts w:ascii="LatoLatinWeb" w:eastAsia="Times New Roman" w:hAnsi="LatoLatinWeb" w:cs="Times New Roman"/>
                <w:b/>
                <w:bCs/>
                <w:color w:val="333333"/>
                <w:sz w:val="21"/>
                <w:szCs w:val="21"/>
              </w:rPr>
              <w:t>156</w:t>
            </w:r>
          </w:p>
        </w:tc>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b/>
                <w:bCs/>
                <w:color w:val="333333"/>
                <w:sz w:val="21"/>
                <w:szCs w:val="21"/>
              </w:rPr>
            </w:pPr>
            <w:r w:rsidRPr="00E01863">
              <w:rPr>
                <w:rFonts w:ascii="LatoLatinWeb" w:eastAsia="Times New Roman" w:hAnsi="LatoLatinWeb" w:cs="Times New Roman"/>
                <w:b/>
                <w:bCs/>
                <w:color w:val="333333"/>
                <w:sz w:val="21"/>
                <w:szCs w:val="21"/>
              </w:rPr>
              <w:t>98</w:t>
            </w:r>
          </w:p>
        </w:tc>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b/>
                <w:bCs/>
                <w:color w:val="333333"/>
                <w:sz w:val="21"/>
                <w:szCs w:val="21"/>
              </w:rPr>
            </w:pPr>
            <w:r w:rsidRPr="00E01863">
              <w:rPr>
                <w:rFonts w:ascii="LatoLatinWeb" w:eastAsia="Times New Roman" w:hAnsi="LatoLatinWeb" w:cs="Times New Roman"/>
                <w:b/>
                <w:bCs/>
                <w:color w:val="333333"/>
                <w:sz w:val="21"/>
                <w:szCs w:val="21"/>
              </w:rPr>
              <w:t>74</w:t>
            </w:r>
          </w:p>
        </w:tc>
      </w:tr>
      <w:tr w:rsidR="00E01863" w:rsidRPr="00E01863" w:rsidTr="00E01863">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color w:val="333333"/>
                <w:sz w:val="21"/>
                <w:szCs w:val="21"/>
              </w:rPr>
            </w:pPr>
            <w:r w:rsidRPr="00E01863">
              <w:rPr>
                <w:rFonts w:ascii="LatoLatinWeb" w:eastAsia="Times New Roman" w:hAnsi="LatoLatinWeb" w:cs="Times New Roman"/>
                <w:color w:val="333333"/>
                <w:sz w:val="21"/>
                <w:szCs w:val="21"/>
              </w:rPr>
              <w:t>Jednokrevetna</w:t>
            </w:r>
          </w:p>
        </w:tc>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b/>
                <w:bCs/>
                <w:color w:val="333333"/>
                <w:sz w:val="21"/>
                <w:szCs w:val="21"/>
              </w:rPr>
            </w:pPr>
            <w:r w:rsidRPr="00E01863">
              <w:rPr>
                <w:rFonts w:ascii="LatoLatinWeb" w:eastAsia="Times New Roman" w:hAnsi="LatoLatinWeb" w:cs="Times New Roman"/>
                <w:b/>
                <w:bCs/>
                <w:color w:val="333333"/>
                <w:sz w:val="21"/>
                <w:szCs w:val="21"/>
              </w:rPr>
              <w:t>142</w:t>
            </w:r>
          </w:p>
        </w:tc>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b/>
                <w:bCs/>
                <w:color w:val="333333"/>
                <w:sz w:val="21"/>
                <w:szCs w:val="21"/>
              </w:rPr>
            </w:pPr>
            <w:r w:rsidRPr="00E01863">
              <w:rPr>
                <w:rFonts w:ascii="LatoLatinWeb" w:eastAsia="Times New Roman" w:hAnsi="LatoLatinWeb" w:cs="Times New Roman"/>
                <w:b/>
                <w:bCs/>
                <w:color w:val="333333"/>
                <w:sz w:val="21"/>
                <w:szCs w:val="21"/>
              </w:rPr>
              <w:t>307</w:t>
            </w:r>
          </w:p>
        </w:tc>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b/>
                <w:bCs/>
                <w:color w:val="333333"/>
                <w:sz w:val="21"/>
                <w:szCs w:val="21"/>
              </w:rPr>
            </w:pPr>
            <w:r w:rsidRPr="00E01863">
              <w:rPr>
                <w:rFonts w:ascii="LatoLatinWeb" w:eastAsia="Times New Roman" w:hAnsi="LatoLatinWeb" w:cs="Times New Roman"/>
                <w:b/>
                <w:bCs/>
                <w:color w:val="333333"/>
                <w:sz w:val="21"/>
                <w:szCs w:val="21"/>
              </w:rPr>
              <w:t>189</w:t>
            </w:r>
          </w:p>
        </w:tc>
        <w:tc>
          <w:tcPr>
            <w:tcW w:w="0" w:type="auto"/>
            <w:tcBorders>
              <w:top w:val="single" w:sz="6" w:space="0" w:color="DDDDDD"/>
            </w:tcBorders>
            <w:shd w:val="clear" w:color="auto" w:fill="auto"/>
            <w:tcMar>
              <w:top w:w="120" w:type="dxa"/>
              <w:left w:w="120" w:type="dxa"/>
              <w:bottom w:w="120" w:type="dxa"/>
              <w:right w:w="120" w:type="dxa"/>
            </w:tcMar>
            <w:hideMark/>
          </w:tcPr>
          <w:p w:rsidR="00E01863" w:rsidRPr="00E01863" w:rsidRDefault="00E01863" w:rsidP="00E01863">
            <w:pPr>
              <w:spacing w:after="300" w:line="240" w:lineRule="auto"/>
              <w:rPr>
                <w:rFonts w:ascii="LatoLatinWeb" w:eastAsia="Times New Roman" w:hAnsi="LatoLatinWeb" w:cs="Times New Roman"/>
                <w:b/>
                <w:bCs/>
                <w:color w:val="333333"/>
                <w:sz w:val="21"/>
                <w:szCs w:val="21"/>
              </w:rPr>
            </w:pPr>
            <w:r w:rsidRPr="00E01863">
              <w:rPr>
                <w:rFonts w:ascii="LatoLatinWeb" w:eastAsia="Times New Roman" w:hAnsi="LatoLatinWeb" w:cs="Times New Roman"/>
                <w:b/>
                <w:bCs/>
                <w:color w:val="333333"/>
                <w:sz w:val="21"/>
                <w:szCs w:val="21"/>
              </w:rPr>
              <w:t>142</w:t>
            </w:r>
          </w:p>
        </w:tc>
      </w:tr>
    </w:tbl>
    <w:p w:rsidR="00E01863" w:rsidRPr="00E01863" w:rsidRDefault="00E01863" w:rsidP="00E01863">
      <w:pPr>
        <w:spacing w:after="0" w:line="240" w:lineRule="auto"/>
        <w:rPr>
          <w:rFonts w:ascii="Times New Roman" w:eastAsia="Times New Roman" w:hAnsi="Times New Roman" w:cs="Times New Roman"/>
          <w:sz w:val="24"/>
          <w:szCs w:val="24"/>
        </w:rPr>
      </w:pPr>
    </w:p>
    <w:p w:rsidR="00E01863" w:rsidRPr="00E01863" w:rsidRDefault="00E01863" w:rsidP="00E01863">
      <w:pPr>
        <w:spacing w:after="150" w:line="240" w:lineRule="auto"/>
        <w:rPr>
          <w:rFonts w:ascii="LatoLatinWeb" w:eastAsia="Times New Roman" w:hAnsi="LatoLatinWeb" w:cs="Times New Roman"/>
          <w:color w:val="333333"/>
          <w:sz w:val="21"/>
          <w:szCs w:val="21"/>
        </w:rPr>
      </w:pPr>
      <w:r w:rsidRPr="00E01863">
        <w:rPr>
          <w:rFonts w:ascii="Verdana" w:eastAsia="Times New Roman" w:hAnsi="Verdana" w:cs="Times New Roman"/>
          <w:b/>
          <w:bCs/>
          <w:color w:val="FF0000"/>
          <w:sz w:val="21"/>
          <w:szCs w:val="21"/>
        </w:rPr>
        <w:t>CENE SU IZRAŽENE U EURIMA PO OSOBI ZA 7 NOĆENJA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b/>
          <w:bCs/>
          <w:color w:val="FF0000"/>
          <w:sz w:val="21"/>
          <w:szCs w:val="21"/>
        </w:rPr>
        <w:t>Manji broj noćenja je moguć - na upit</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b/>
          <w:bCs/>
          <w:color w:val="333333"/>
          <w:sz w:val="21"/>
          <w:szCs w:val="21"/>
        </w:rPr>
        <w:t>OBAVEZNE DOPLATE: </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Boravišna taksa za ceo period boravka po osobi: odrasli - 7€; deca 2-12 godina - 3,5€</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b/>
          <w:bCs/>
          <w:color w:val="333333"/>
          <w:sz w:val="21"/>
          <w:szCs w:val="21"/>
        </w:rPr>
        <w:t>U CENU ARANŽMANA JE URAČUNATO: </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Smeštaj na bazi 7 noćenja u izabranoj smeštajnoj jedinici na bazi noćenja sa doručkom (švedski sto), korišćenje saune, parnog kupatila, transfer do gondole prema rasporedu hotela, internet, parking (u zavisnosti od raspoloživosti), novogodišnja večera 31.12.2018, usluga agencijskog predstavnika (inopartnera).</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b/>
          <w:bCs/>
          <w:color w:val="333333"/>
          <w:sz w:val="21"/>
          <w:szCs w:val="21"/>
        </w:rPr>
        <w:t>U CENU ARANŽMANA NIJE URAČUNATO: </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Dinarski deo aranžmana 1790,00 dinara po rezervaciji</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Boravišne takse (osim ako cenovnikom nije drugacije navedeno) </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Medjunarodno putno zdravstveno osiguranje, fakultativni izleti, individualni troškovi putnika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Obavezne doplate koje su navedene ispod cenovnika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Ski pass - (mogućnost uplate u agenciji) </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Autobuski prevoz</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b/>
          <w:bCs/>
          <w:color w:val="333333"/>
          <w:sz w:val="21"/>
          <w:szCs w:val="21"/>
        </w:rPr>
        <w:t>AUTOBUSKI PREVOZ:</w:t>
      </w:r>
      <w:r w:rsidRPr="00E01863">
        <w:rPr>
          <w:rFonts w:ascii="Verdana" w:eastAsia="Times New Roman" w:hAnsi="Verdana" w:cs="Times New Roman"/>
          <w:color w:val="333333"/>
          <w:sz w:val="21"/>
          <w:szCs w:val="21"/>
        </w:rPr>
        <w:br/>
        <w:t>• Cena autobuskog prevoza: Beograd - Bansko - Beograd - 50€ po osobi, jedan pravac 30€ po osobi. Niš - Bansko - Niš - 40€ po osobi, jedan pravac 25€ po osobi.</w:t>
      </w:r>
      <w:r w:rsidRPr="00E01863">
        <w:rPr>
          <w:rFonts w:ascii="Verdana" w:eastAsia="Times New Roman" w:hAnsi="Verdana" w:cs="Times New Roman"/>
          <w:color w:val="333333"/>
          <w:sz w:val="21"/>
          <w:szCs w:val="21"/>
        </w:rPr>
        <w:br/>
        <w:t>• Polazak iz Beograda je svakoga petka od 14.12.2018. do 08.03.2019.godine (14.12.2018; 21.12.2018; 28.12.2018; 04.01.2019; 11.01.2019; 18.01.2019; 25.01.2019; 01.02.2019; 08.02.2019; 15.02.2019; 22.02.2019; 01.03.2019; 08.03.2019). Polazak je u 21.00h (dan ranije u odnosu na datum iz tabele, sa parkinga SC Milan Gale Muškatirović). O tačnom vremenu polaska putnici će biti obavešteni 2 dana pred put. Transferi 14.12.2018. i polazak posle 08.03.2019. biće organizovan ako ima dovoljan broj putnika (minimum 30 putnika). U slučaju manjeg broja putnika prevoz može biti organizovan mini busom.</w:t>
      </w:r>
      <w:r w:rsidRPr="00E01863">
        <w:rPr>
          <w:rFonts w:ascii="Verdana" w:eastAsia="Times New Roman" w:hAnsi="Verdana" w:cs="Times New Roman"/>
          <w:color w:val="333333"/>
          <w:sz w:val="21"/>
          <w:szCs w:val="21"/>
        </w:rPr>
        <w:br/>
        <w:t>• Transferi: Postoji mogućnost organizovanog transfera Novi Sad - Beograd - Novi Sad, po ceni od 15€ po osobi (za realizaciju transfera potrebno je minimum 4 plativa putnika), kao i jedan pravac po ceni od 10€ po osobi. Povratak iz Banskog je od 16.00h po lokalnom vremenu. Zbog velikih saobraćajnih gužvi u kompleksu u vreme koje je predvidjeno za povratak, a kako bi se izbeglo višečasovno prikupljanje putnika, putnici se neće prikupljati po hotelima nego na nekoliko mesta koja de biti odredjena tako da budu što bliža hotelu u kome su putnici smešteni. O tačnom mestu i vremenu sastanka za povratak putnici mogu dobiti informaciju dan pre početka putovanja, a detaljne informacije de dobiti od pratioca grupe tokom odlaska. Za povratak putnici su u obavezi da samostalno organizuju dolazak na predviđeno mesto polaska</w:t>
      </w:r>
      <w:r w:rsidRPr="00E01863">
        <w:rPr>
          <w:rFonts w:ascii="Verdana" w:eastAsia="Times New Roman" w:hAnsi="Verdana" w:cs="Times New Roman"/>
          <w:color w:val="333333"/>
          <w:sz w:val="21"/>
          <w:szCs w:val="21"/>
        </w:rPr>
        <w:br/>
      </w:r>
      <w:r w:rsidRPr="00E01863">
        <w:rPr>
          <w:rFonts w:ascii="Verdana" w:eastAsia="Times New Roman" w:hAnsi="Verdana" w:cs="Times New Roman"/>
          <w:color w:val="333333"/>
          <w:sz w:val="21"/>
          <w:szCs w:val="21"/>
        </w:rPr>
        <w:lastRenderedPageBreak/>
        <w:t>• Prtljag: Putnici u prtljažnik mogu uneti 1 torbu i ski opremu po putniku. Ova napomena je stavljena kako bismo izbegli neprijatne situacije koje se dešavaju kada pojedini putnici ponesu previše prtljaga i time ograničavaju komfor ostalih putnika u autobusu. Prenos prtljaga do smeštajne jedinice putnici obavljaju sami. Prevoz se vrši do hotela ukoliko je to fizički moguće.</w:t>
      </w:r>
      <w:r w:rsidRPr="00E01863">
        <w:rPr>
          <w:rFonts w:ascii="Verdana" w:eastAsia="Times New Roman" w:hAnsi="Verdana" w:cs="Times New Roman"/>
          <w:color w:val="333333"/>
          <w:sz w:val="21"/>
          <w:szCs w:val="21"/>
        </w:rPr>
        <w:br/>
        <w:t>• Sedište u autobusu: Raspored sedenja u busu pravi organizator prema redosledu prijavljivanja, deca bez obzira na godine starosti moraju imati sedište u autobusu. Ukoliko stranke žele da sede na tačno odredjenom sedištu u autobusu, moguće je uz doplatu 1000 dinara po sedištu (na upit). Prilikom rezervacije prevoza obavezno je naglasiti da li stranke žele odredjeno sedište u autobusu. </w:t>
      </w:r>
      <w:r w:rsidRPr="00E01863">
        <w:rPr>
          <w:rFonts w:ascii="Verdana" w:eastAsia="Times New Roman" w:hAnsi="Verdana" w:cs="Times New Roman"/>
          <w:color w:val="333333"/>
          <w:sz w:val="21"/>
          <w:szCs w:val="21"/>
        </w:rPr>
        <w:br/>
        <w:t>• U slučaju manjeg broja putnika Kontiki Travel&amp;Service ima pravo da otkaže autobuski prevoz 5 dana pre polaska.</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b/>
          <w:bCs/>
          <w:color w:val="333333"/>
          <w:sz w:val="21"/>
          <w:szCs w:val="21"/>
        </w:rPr>
        <w:t>VAŽNE NAPOMENE: </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Uslovi vezani za rani booking važe samo za osnovnu cenu hotela. Popust se ne odnosi na doplate. Svaka promena rezervacije, koja je napravljena u ranom bookingu, smatra se kao otkaz rezervacije i tretiraće se novom rezervacijom.</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Program je individualan, rezervacija se vrše na upit. Rok za potvrdu rezervacije aranžmana je najkasnije 2 radna dana od momenta prijave za putovanje i uplate akontacije. </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Datum u tabeli je datum ulaska u hotel. Smene u hotelu su subota na subotu. Ulazak u sobe ili apartmane prvog dana boravka je posle 14:00h a napuštanje je poslednjeg dana boravka do 10:00h.</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Putnici sa sopstvenim prevozom u hotel ulaze subotom, sami se prijavljuju na recepciji (osim u slučaju nemogućnosti da pronadju ugovoreni hotel, kada treba da kontaktiraju predstavnika telefonom). </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Kategorizaciju objekta u Bugarskoj vrše nadležni organi te zemlje. Svaki hotel je dužan da na vidnom mestu istakne svoju kategorizaciju. Postoji mogućnost da neki od sadržaja hotela ili apartmana nije u funksciji za šta organizator ne snosi odgovornost. U hotelima se peškiri u većini slučajeva menjaju 2 puta u toku smene. U velikom broju bugarskih hotela kupatila su opremljena tušem sa slivnikom bez tuš kabine.</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Hoteli koji poseduju besplatni parking ne garantuju mesto na parkingu zbog ograničenog broja mesta.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U hotelima gde je ishrana je na bazi švedskog stola, hoteli zadržavaju pravo da usled nedovoljnog broja gostiju promene način služenja obroka.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Organizator putovanja ne garantuje spratnost, pogled, broj sobe, sedište u autobusu ukoliko to nije predvidjeno cenovnikom kao mogućnost doplate. </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b/>
          <w:bCs/>
          <w:color w:val="333333"/>
          <w:sz w:val="21"/>
          <w:szCs w:val="21"/>
        </w:rPr>
        <w:t>USLOVI PLAĆANJA:</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Cene aranžmana kao i svih drugih doplata su izražene u evrima (osim ako drugačije nije definisano). Plaćanje se vrši isključivo u dinarskoj protivvrednosti po prodajnom kursu INTESA banke na dan uplate. Cena je garantovana samo za uplatu kompletnog iznosa. U suprotnom, garantovan je samo iznos akontacije, a ostatak je podložan promeni.</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b/>
          <w:bCs/>
          <w:color w:val="333333"/>
          <w:sz w:val="21"/>
          <w:szCs w:val="21"/>
        </w:rPr>
        <w:t>NAČINI PLAĆANJA:</w:t>
      </w:r>
      <w:r w:rsidRPr="00E01863">
        <w:rPr>
          <w:rFonts w:ascii="Verdana" w:eastAsia="Times New Roman" w:hAnsi="Verdana" w:cs="Times New Roman"/>
          <w:color w:val="333333"/>
          <w:sz w:val="21"/>
          <w:szCs w:val="21"/>
        </w:rPr>
        <w:t> </w:t>
      </w:r>
      <w:r w:rsidRPr="00E01863">
        <w:rPr>
          <w:rFonts w:ascii="LatoLatinWeb" w:eastAsia="Times New Roman" w:hAnsi="LatoLatinWeb" w:cs="Times New Roman"/>
          <w:color w:val="333333"/>
          <w:sz w:val="21"/>
          <w:szCs w:val="21"/>
        </w:rPr>
        <w:br/>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Avans od najmanje 40% od ukupne cene aranžmana prilikom prijave, a ostatak najkasnije 15 dana pre polaska na put</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gotovinski,</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lastRenderedPageBreak/>
        <w:t>- kreditnim karticama Intesa banke do 6 mesečnih rata,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kreditnim karticama Komercijalne banke moguće je plaćati do 12 mesečnih rata,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čekovima građana do 6 mesečnih rata,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ostalim platnim karticama (Master, Visa, American Express, Maestro i Dina),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preko računa,</w:t>
      </w:r>
      <w:r w:rsidRPr="00E01863">
        <w:rPr>
          <w:rFonts w:ascii="LatoLatinWeb" w:eastAsia="Times New Roman" w:hAnsi="LatoLatinWeb" w:cs="Times New Roman"/>
          <w:color w:val="333333"/>
          <w:sz w:val="21"/>
          <w:szCs w:val="21"/>
        </w:rPr>
        <w:br/>
      </w:r>
      <w:r w:rsidRPr="00E01863">
        <w:rPr>
          <w:rFonts w:ascii="Verdana" w:eastAsia="Times New Roman" w:hAnsi="Verdana" w:cs="Times New Roman"/>
          <w:color w:val="333333"/>
          <w:sz w:val="21"/>
          <w:szCs w:val="21"/>
        </w:rPr>
        <w:t>- kreditima poslovnih banaka (koje kupac aranžmana na osnovu ugovora o putovanju/ predračuna ugovara direktno sa bankom),</w:t>
      </w:r>
    </w:p>
    <w:p w:rsidR="009F0464" w:rsidRDefault="009F0464"/>
    <w:sectPr w:rsidR="009F0464" w:rsidSect="009F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atoLatinWeb">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1863"/>
    <w:rsid w:val="009F0464"/>
    <w:rsid w:val="00E01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9768011">
      <w:bodyDiv w:val="1"/>
      <w:marLeft w:val="0"/>
      <w:marRight w:val="0"/>
      <w:marTop w:val="0"/>
      <w:marBottom w:val="0"/>
      <w:divBdr>
        <w:top w:val="none" w:sz="0" w:space="0" w:color="auto"/>
        <w:left w:val="none" w:sz="0" w:space="0" w:color="auto"/>
        <w:bottom w:val="none" w:sz="0" w:space="0" w:color="auto"/>
        <w:right w:val="none" w:sz="0" w:space="0" w:color="auto"/>
      </w:divBdr>
      <w:divsChild>
        <w:div w:id="164928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891</Words>
  <Characters>5080</Characters>
  <Application>Microsoft Office Word</Application>
  <DocSecurity>0</DocSecurity>
  <Lines>42</Lines>
  <Paragraphs>11</Paragraphs>
  <ScaleCrop>false</ScaleCrop>
  <Company>Toshiba</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dc:creator>
  <cp:lastModifiedBy>Miki</cp:lastModifiedBy>
  <cp:revision>1</cp:revision>
  <dcterms:created xsi:type="dcterms:W3CDTF">2018-11-27T18:48:00Z</dcterms:created>
  <dcterms:modified xsi:type="dcterms:W3CDTF">2018-11-27T21:27:00Z</dcterms:modified>
</cp:coreProperties>
</file>