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2315" w:type="dxa"/>
        <w:tblCellMar>
          <w:top w:w="15" w:type="dxa"/>
          <w:left w:w="15" w:type="dxa"/>
          <w:bottom w:w="15" w:type="dxa"/>
          <w:right w:w="15" w:type="dxa"/>
        </w:tblCellMar>
        <w:tblLook w:val="04A0"/>
      </w:tblPr>
      <w:tblGrid>
        <w:gridCol w:w="5939"/>
        <w:gridCol w:w="1276"/>
        <w:gridCol w:w="1275"/>
        <w:gridCol w:w="1275"/>
        <w:gridCol w:w="1275"/>
        <w:gridCol w:w="1275"/>
      </w:tblGrid>
      <w:tr w:rsidR="00CC13F3" w:rsidRPr="00CC13F3" w:rsidTr="00CC13F3">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color w:val="333333"/>
                <w:sz w:val="21"/>
                <w:szCs w:val="21"/>
              </w:rPr>
            </w:pPr>
            <w:r w:rsidRPr="00CC13F3">
              <w:rPr>
                <w:rFonts w:ascii="LatoLatinWeb" w:eastAsia="Times New Roman" w:hAnsi="LatoLatinWeb" w:cs="Times New Roman"/>
                <w:color w:val="333333"/>
                <w:sz w:val="21"/>
                <w:szCs w:val="21"/>
              </w:rPr>
              <w:t>Dvokrevetna po osobi</w:t>
            </w:r>
          </w:p>
        </w:tc>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b/>
                <w:bCs/>
                <w:color w:val="333333"/>
                <w:sz w:val="21"/>
                <w:szCs w:val="21"/>
              </w:rPr>
            </w:pPr>
            <w:r w:rsidRPr="00CC13F3">
              <w:rPr>
                <w:rFonts w:ascii="LatoLatinWeb" w:eastAsia="Times New Roman" w:hAnsi="LatoLatinWeb" w:cs="Times New Roman"/>
                <w:b/>
                <w:bCs/>
                <w:color w:val="333333"/>
                <w:sz w:val="21"/>
                <w:szCs w:val="21"/>
              </w:rPr>
              <w:t>28</w:t>
            </w:r>
          </w:p>
        </w:tc>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b/>
                <w:bCs/>
                <w:color w:val="333333"/>
                <w:sz w:val="21"/>
                <w:szCs w:val="21"/>
              </w:rPr>
            </w:pPr>
            <w:r w:rsidRPr="00CC13F3">
              <w:rPr>
                <w:rFonts w:ascii="LatoLatinWeb" w:eastAsia="Times New Roman" w:hAnsi="LatoLatinWeb" w:cs="Times New Roman"/>
                <w:b/>
                <w:bCs/>
                <w:color w:val="333333"/>
                <w:sz w:val="21"/>
                <w:szCs w:val="21"/>
              </w:rPr>
              <w:t>36</w:t>
            </w:r>
          </w:p>
        </w:tc>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b/>
                <w:bCs/>
                <w:color w:val="333333"/>
                <w:sz w:val="21"/>
                <w:szCs w:val="21"/>
              </w:rPr>
            </w:pPr>
            <w:r w:rsidRPr="00CC13F3">
              <w:rPr>
                <w:rFonts w:ascii="LatoLatinWeb" w:eastAsia="Times New Roman" w:hAnsi="LatoLatinWeb" w:cs="Times New Roman"/>
                <w:b/>
                <w:bCs/>
                <w:color w:val="333333"/>
                <w:sz w:val="21"/>
                <w:szCs w:val="21"/>
              </w:rPr>
              <w:t>42</w:t>
            </w:r>
          </w:p>
        </w:tc>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b/>
                <w:bCs/>
                <w:color w:val="333333"/>
                <w:sz w:val="21"/>
                <w:szCs w:val="21"/>
              </w:rPr>
            </w:pPr>
            <w:r w:rsidRPr="00CC13F3">
              <w:rPr>
                <w:rFonts w:ascii="LatoLatinWeb" w:eastAsia="Times New Roman" w:hAnsi="LatoLatinWeb" w:cs="Times New Roman"/>
                <w:b/>
                <w:bCs/>
                <w:color w:val="333333"/>
                <w:sz w:val="21"/>
                <w:szCs w:val="21"/>
              </w:rPr>
              <w:t>36</w:t>
            </w:r>
          </w:p>
        </w:tc>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b/>
                <w:bCs/>
                <w:color w:val="333333"/>
                <w:sz w:val="21"/>
                <w:szCs w:val="21"/>
              </w:rPr>
            </w:pPr>
            <w:r w:rsidRPr="00CC13F3">
              <w:rPr>
                <w:rFonts w:ascii="LatoLatinWeb" w:eastAsia="Times New Roman" w:hAnsi="LatoLatinWeb" w:cs="Times New Roman"/>
                <w:b/>
                <w:bCs/>
                <w:color w:val="333333"/>
                <w:sz w:val="21"/>
                <w:szCs w:val="21"/>
              </w:rPr>
              <w:t>28</w:t>
            </w:r>
          </w:p>
        </w:tc>
      </w:tr>
      <w:tr w:rsidR="00CC13F3" w:rsidRPr="00CC13F3" w:rsidTr="00CC13F3">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color w:val="333333"/>
                <w:sz w:val="21"/>
                <w:szCs w:val="21"/>
              </w:rPr>
            </w:pPr>
            <w:r w:rsidRPr="00CC13F3">
              <w:rPr>
                <w:rFonts w:ascii="LatoLatinWeb" w:eastAsia="Times New Roman" w:hAnsi="LatoLatinWeb" w:cs="Times New Roman"/>
                <w:color w:val="333333"/>
                <w:sz w:val="21"/>
                <w:szCs w:val="21"/>
              </w:rPr>
              <w:t>Prvo dete 2,00-11,99</w:t>
            </w:r>
          </w:p>
        </w:tc>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color w:val="333333"/>
                <w:sz w:val="21"/>
                <w:szCs w:val="21"/>
              </w:rPr>
            </w:pPr>
            <w:r w:rsidRPr="00CC13F3">
              <w:rPr>
                <w:rFonts w:ascii="LatoLatinWeb" w:eastAsia="Times New Roman" w:hAnsi="LatoLatinWeb" w:cs="Times New Roman"/>
                <w:color w:val="333333"/>
                <w:sz w:val="21"/>
                <w:szCs w:val="21"/>
              </w:rPr>
              <w:t>5</w:t>
            </w:r>
          </w:p>
        </w:tc>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color w:val="333333"/>
                <w:sz w:val="21"/>
                <w:szCs w:val="21"/>
              </w:rPr>
            </w:pPr>
            <w:r w:rsidRPr="00CC13F3">
              <w:rPr>
                <w:rFonts w:ascii="LatoLatinWeb" w:eastAsia="Times New Roman" w:hAnsi="LatoLatinWeb" w:cs="Times New Roman"/>
                <w:color w:val="333333"/>
                <w:sz w:val="21"/>
                <w:szCs w:val="21"/>
              </w:rPr>
              <w:t>5</w:t>
            </w:r>
          </w:p>
        </w:tc>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color w:val="333333"/>
                <w:sz w:val="21"/>
                <w:szCs w:val="21"/>
              </w:rPr>
            </w:pPr>
            <w:r w:rsidRPr="00CC13F3">
              <w:rPr>
                <w:rFonts w:ascii="LatoLatinWeb" w:eastAsia="Times New Roman" w:hAnsi="LatoLatinWeb" w:cs="Times New Roman"/>
                <w:color w:val="333333"/>
                <w:sz w:val="21"/>
                <w:szCs w:val="21"/>
              </w:rPr>
              <w:t>5</w:t>
            </w:r>
          </w:p>
        </w:tc>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color w:val="333333"/>
                <w:sz w:val="21"/>
                <w:szCs w:val="21"/>
              </w:rPr>
            </w:pPr>
            <w:r w:rsidRPr="00CC13F3">
              <w:rPr>
                <w:rFonts w:ascii="LatoLatinWeb" w:eastAsia="Times New Roman" w:hAnsi="LatoLatinWeb" w:cs="Times New Roman"/>
                <w:color w:val="333333"/>
                <w:sz w:val="21"/>
                <w:szCs w:val="21"/>
              </w:rPr>
              <w:t>5</w:t>
            </w:r>
          </w:p>
        </w:tc>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color w:val="333333"/>
                <w:sz w:val="21"/>
                <w:szCs w:val="21"/>
              </w:rPr>
            </w:pPr>
            <w:r w:rsidRPr="00CC13F3">
              <w:rPr>
                <w:rFonts w:ascii="LatoLatinWeb" w:eastAsia="Times New Roman" w:hAnsi="LatoLatinWeb" w:cs="Times New Roman"/>
                <w:color w:val="333333"/>
                <w:sz w:val="21"/>
                <w:szCs w:val="21"/>
              </w:rPr>
              <w:t>5</w:t>
            </w:r>
          </w:p>
        </w:tc>
      </w:tr>
      <w:tr w:rsidR="00CC13F3" w:rsidRPr="00CC13F3" w:rsidTr="00CC13F3">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color w:val="333333"/>
                <w:sz w:val="21"/>
                <w:szCs w:val="21"/>
              </w:rPr>
            </w:pPr>
            <w:r w:rsidRPr="00CC13F3">
              <w:rPr>
                <w:rFonts w:ascii="LatoLatinWeb" w:eastAsia="Times New Roman" w:hAnsi="LatoLatinWeb" w:cs="Times New Roman"/>
                <w:color w:val="333333"/>
                <w:sz w:val="21"/>
                <w:szCs w:val="21"/>
              </w:rPr>
              <w:t>Trokrevetna po osobi</w:t>
            </w:r>
          </w:p>
        </w:tc>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b/>
                <w:bCs/>
                <w:color w:val="333333"/>
                <w:sz w:val="21"/>
                <w:szCs w:val="21"/>
              </w:rPr>
            </w:pPr>
            <w:r w:rsidRPr="00CC13F3">
              <w:rPr>
                <w:rFonts w:ascii="LatoLatinWeb" w:eastAsia="Times New Roman" w:hAnsi="LatoLatinWeb" w:cs="Times New Roman"/>
                <w:b/>
                <w:bCs/>
                <w:color w:val="333333"/>
                <w:sz w:val="21"/>
                <w:szCs w:val="21"/>
              </w:rPr>
              <w:t>26</w:t>
            </w:r>
          </w:p>
        </w:tc>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b/>
                <w:bCs/>
                <w:color w:val="333333"/>
                <w:sz w:val="21"/>
                <w:szCs w:val="21"/>
              </w:rPr>
            </w:pPr>
            <w:r w:rsidRPr="00CC13F3">
              <w:rPr>
                <w:rFonts w:ascii="LatoLatinWeb" w:eastAsia="Times New Roman" w:hAnsi="LatoLatinWeb" w:cs="Times New Roman"/>
                <w:b/>
                <w:bCs/>
                <w:color w:val="333333"/>
                <w:sz w:val="21"/>
                <w:szCs w:val="21"/>
              </w:rPr>
              <w:t>33</w:t>
            </w:r>
          </w:p>
        </w:tc>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b/>
                <w:bCs/>
                <w:color w:val="333333"/>
                <w:sz w:val="21"/>
                <w:szCs w:val="21"/>
              </w:rPr>
            </w:pPr>
            <w:r w:rsidRPr="00CC13F3">
              <w:rPr>
                <w:rFonts w:ascii="LatoLatinWeb" w:eastAsia="Times New Roman" w:hAnsi="LatoLatinWeb" w:cs="Times New Roman"/>
                <w:b/>
                <w:bCs/>
                <w:color w:val="333333"/>
                <w:sz w:val="21"/>
                <w:szCs w:val="21"/>
              </w:rPr>
              <w:t>39</w:t>
            </w:r>
          </w:p>
        </w:tc>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b/>
                <w:bCs/>
                <w:color w:val="333333"/>
                <w:sz w:val="21"/>
                <w:szCs w:val="21"/>
              </w:rPr>
            </w:pPr>
            <w:r w:rsidRPr="00CC13F3">
              <w:rPr>
                <w:rFonts w:ascii="LatoLatinWeb" w:eastAsia="Times New Roman" w:hAnsi="LatoLatinWeb" w:cs="Times New Roman"/>
                <w:b/>
                <w:bCs/>
                <w:color w:val="333333"/>
                <w:sz w:val="21"/>
                <w:szCs w:val="21"/>
              </w:rPr>
              <w:t>33</w:t>
            </w:r>
          </w:p>
        </w:tc>
        <w:tc>
          <w:tcPr>
            <w:tcW w:w="0" w:type="auto"/>
            <w:tcBorders>
              <w:top w:val="single" w:sz="6" w:space="0" w:color="DDDDDD"/>
            </w:tcBorders>
            <w:shd w:val="clear" w:color="auto" w:fill="auto"/>
            <w:tcMar>
              <w:top w:w="120" w:type="dxa"/>
              <w:left w:w="120" w:type="dxa"/>
              <w:bottom w:w="120" w:type="dxa"/>
              <w:right w:w="120" w:type="dxa"/>
            </w:tcMar>
            <w:hideMark/>
          </w:tcPr>
          <w:p w:rsidR="00CC13F3" w:rsidRPr="00CC13F3" w:rsidRDefault="00CC13F3" w:rsidP="00CC13F3">
            <w:pPr>
              <w:spacing w:after="300" w:line="240" w:lineRule="auto"/>
              <w:rPr>
                <w:rFonts w:ascii="LatoLatinWeb" w:eastAsia="Times New Roman" w:hAnsi="LatoLatinWeb" w:cs="Times New Roman"/>
                <w:b/>
                <w:bCs/>
                <w:color w:val="333333"/>
                <w:sz w:val="21"/>
                <w:szCs w:val="21"/>
              </w:rPr>
            </w:pPr>
            <w:r w:rsidRPr="00CC13F3">
              <w:rPr>
                <w:rFonts w:ascii="LatoLatinWeb" w:eastAsia="Times New Roman" w:hAnsi="LatoLatinWeb" w:cs="Times New Roman"/>
                <w:b/>
                <w:bCs/>
                <w:color w:val="333333"/>
                <w:sz w:val="21"/>
                <w:szCs w:val="21"/>
              </w:rPr>
              <w:t>26</w:t>
            </w:r>
          </w:p>
        </w:tc>
      </w:tr>
    </w:tbl>
    <w:p w:rsidR="00CC13F3" w:rsidRPr="00CC13F3" w:rsidRDefault="00CC13F3" w:rsidP="00CC13F3">
      <w:pPr>
        <w:spacing w:after="0" w:line="240" w:lineRule="auto"/>
        <w:rPr>
          <w:rFonts w:ascii="Times New Roman" w:eastAsia="Times New Roman" w:hAnsi="Times New Roman" w:cs="Times New Roman"/>
          <w:sz w:val="24"/>
          <w:szCs w:val="24"/>
        </w:rPr>
      </w:pPr>
    </w:p>
    <w:p w:rsidR="00CC13F3" w:rsidRPr="00CC13F3" w:rsidRDefault="00CC13F3" w:rsidP="00CC13F3">
      <w:pPr>
        <w:spacing w:after="150" w:line="240" w:lineRule="auto"/>
        <w:rPr>
          <w:rFonts w:ascii="LatoLatinWeb" w:eastAsia="Times New Roman" w:hAnsi="LatoLatinWeb" w:cs="Times New Roman"/>
          <w:color w:val="333333"/>
          <w:sz w:val="21"/>
          <w:szCs w:val="21"/>
        </w:rPr>
      </w:pPr>
      <w:r w:rsidRPr="00CC13F3">
        <w:rPr>
          <w:rFonts w:ascii="Verdana" w:eastAsia="Times New Roman" w:hAnsi="Verdana" w:cs="Times New Roman"/>
          <w:b/>
          <w:bCs/>
          <w:color w:val="FF0000"/>
          <w:sz w:val="21"/>
          <w:szCs w:val="21"/>
        </w:rPr>
        <w:t>CENE SU IZRAŽENE U EVRIMA </w:t>
      </w:r>
      <w:r w:rsidRPr="00CC13F3">
        <w:rPr>
          <w:rFonts w:ascii="LatoLatinWeb" w:eastAsia="Times New Roman" w:hAnsi="LatoLatinWeb" w:cs="Times New Roman"/>
          <w:color w:val="333333"/>
          <w:sz w:val="21"/>
          <w:szCs w:val="21"/>
        </w:rPr>
        <w:br/>
      </w:r>
      <w:r w:rsidRPr="00CC13F3">
        <w:rPr>
          <w:rFonts w:ascii="Verdana" w:eastAsia="Times New Roman" w:hAnsi="Verdana" w:cs="Times New Roman"/>
          <w:b/>
          <w:bCs/>
          <w:color w:val="FF0000"/>
          <w:sz w:val="21"/>
          <w:szCs w:val="21"/>
        </w:rPr>
        <w:br/>
        <w:t>POPUST ZA RANE REZERVACIJE JE URAČUNAT U CENU I VAŽI ZA UPLATE 40% OD UKUPNE CENE ARANŽMANA DO 30.11.2018. GODINE</w:t>
      </w:r>
      <w:r w:rsidRPr="00CC13F3">
        <w:rPr>
          <w:rFonts w:ascii="LatoLatinWeb" w:eastAsia="Times New Roman" w:hAnsi="LatoLatinWeb" w:cs="Times New Roman"/>
          <w:color w:val="333333"/>
          <w:sz w:val="21"/>
          <w:szCs w:val="21"/>
        </w:rPr>
        <w:br/>
      </w:r>
      <w:r w:rsidRPr="00CC13F3">
        <w:rPr>
          <w:rFonts w:ascii="LatoLatinWeb" w:eastAsia="Times New Roman" w:hAnsi="LatoLatinWeb" w:cs="Times New Roman"/>
          <w:color w:val="333333"/>
          <w:sz w:val="21"/>
          <w:szCs w:val="21"/>
        </w:rPr>
        <w:br/>
      </w:r>
      <w:r w:rsidRPr="00CC13F3">
        <w:rPr>
          <w:rFonts w:ascii="Verdana" w:eastAsia="Times New Roman" w:hAnsi="Verdana" w:cs="Times New Roman"/>
          <w:b/>
          <w:bCs/>
          <w:color w:val="333333"/>
          <w:sz w:val="21"/>
          <w:szCs w:val="21"/>
        </w:rPr>
        <w:t>Cene u tabelama su izražene u evrima, po osobi po danu. </w:t>
      </w:r>
      <w:r w:rsidRPr="00CC13F3">
        <w:rPr>
          <w:rFonts w:ascii="LatoLatinWeb" w:eastAsia="Times New Roman" w:hAnsi="LatoLatinWeb" w:cs="Times New Roman"/>
          <w:color w:val="333333"/>
          <w:sz w:val="21"/>
          <w:szCs w:val="21"/>
        </w:rPr>
        <w:br/>
      </w:r>
      <w:r w:rsidRPr="00CC13F3">
        <w:rPr>
          <w:rFonts w:ascii="Verdana" w:eastAsia="Times New Roman" w:hAnsi="Verdana" w:cs="Times New Roman"/>
          <w:b/>
          <w:bCs/>
          <w:color w:val="333333"/>
          <w:sz w:val="21"/>
          <w:szCs w:val="21"/>
        </w:rPr>
        <w:t>Plaćanje je u dinarima po prodajnom kursu Banke INTESA na dan uplate. U slučaju promene kursa dinara, nenaplaćeni deo podleže promeni (valutna klauzula). </w:t>
      </w:r>
      <w:r w:rsidRPr="00CC13F3">
        <w:rPr>
          <w:rFonts w:ascii="LatoLatinWeb" w:eastAsia="Times New Roman" w:hAnsi="LatoLatinWeb" w:cs="Times New Roman"/>
          <w:color w:val="333333"/>
          <w:sz w:val="21"/>
          <w:szCs w:val="21"/>
        </w:rPr>
        <w:br/>
      </w:r>
      <w:r w:rsidRPr="00CC13F3">
        <w:rPr>
          <w:rFonts w:ascii="LatoLatinWeb" w:eastAsia="Times New Roman" w:hAnsi="LatoLatinWeb" w:cs="Times New Roman"/>
          <w:color w:val="333333"/>
          <w:sz w:val="21"/>
          <w:szCs w:val="21"/>
        </w:rPr>
        <w:br/>
      </w:r>
      <w:r w:rsidRPr="00CC13F3">
        <w:rPr>
          <w:rFonts w:ascii="Verdana" w:eastAsia="Times New Roman" w:hAnsi="Verdana" w:cs="Times New Roman"/>
          <w:b/>
          <w:bCs/>
          <w:color w:val="333333"/>
          <w:sz w:val="21"/>
          <w:szCs w:val="21"/>
        </w:rPr>
        <w:t>U cenu aranžmana je uračunato:</w:t>
      </w:r>
      <w:r w:rsidRPr="00CC13F3">
        <w:rPr>
          <w:rFonts w:ascii="Verdana" w:eastAsia="Times New Roman" w:hAnsi="Verdana" w:cs="Times New Roman"/>
          <w:color w:val="333333"/>
          <w:sz w:val="21"/>
          <w:szCs w:val="21"/>
        </w:rPr>
        <w:t> </w:t>
      </w:r>
      <w:r w:rsidRPr="00CC13F3">
        <w:rPr>
          <w:rFonts w:ascii="LatoLatinWeb" w:eastAsia="Times New Roman" w:hAnsi="LatoLatinWeb" w:cs="Times New Roman"/>
          <w:color w:val="333333"/>
          <w:sz w:val="21"/>
          <w:szCs w:val="21"/>
        </w:rPr>
        <w:br/>
      </w:r>
      <w:r w:rsidRPr="00CC13F3">
        <w:rPr>
          <w:rFonts w:ascii="Verdana" w:eastAsia="Times New Roman" w:hAnsi="Verdana" w:cs="Times New Roman"/>
          <w:color w:val="333333"/>
          <w:sz w:val="21"/>
          <w:szCs w:val="21"/>
        </w:rPr>
        <w:t>Smeštaj u izabranom hotelu na bazi izabrane usluge, troškovi organizacije putovanja. </w:t>
      </w:r>
      <w:r w:rsidRPr="00CC13F3">
        <w:rPr>
          <w:rFonts w:ascii="LatoLatinWeb" w:eastAsia="Times New Roman" w:hAnsi="LatoLatinWeb" w:cs="Times New Roman"/>
          <w:color w:val="333333"/>
          <w:sz w:val="21"/>
          <w:szCs w:val="21"/>
        </w:rPr>
        <w:br/>
      </w:r>
      <w:r w:rsidRPr="00CC13F3">
        <w:rPr>
          <w:rFonts w:ascii="LatoLatinWeb" w:eastAsia="Times New Roman" w:hAnsi="LatoLatinWeb" w:cs="Times New Roman"/>
          <w:color w:val="333333"/>
          <w:sz w:val="21"/>
          <w:szCs w:val="21"/>
        </w:rPr>
        <w:br/>
      </w:r>
      <w:r w:rsidRPr="00CC13F3">
        <w:rPr>
          <w:rFonts w:ascii="Verdana" w:eastAsia="Times New Roman" w:hAnsi="Verdana" w:cs="Times New Roman"/>
          <w:b/>
          <w:bCs/>
          <w:color w:val="333333"/>
          <w:sz w:val="21"/>
          <w:szCs w:val="21"/>
        </w:rPr>
        <w:t>U cenu aranžmana nije uračunato: </w:t>
      </w:r>
      <w:r w:rsidRPr="00CC13F3">
        <w:rPr>
          <w:rFonts w:ascii="LatoLatinWeb" w:eastAsia="Times New Roman" w:hAnsi="LatoLatinWeb" w:cs="Times New Roman"/>
          <w:color w:val="333333"/>
          <w:sz w:val="21"/>
          <w:szCs w:val="21"/>
        </w:rPr>
        <w:br/>
      </w:r>
      <w:r w:rsidRPr="00CC13F3">
        <w:rPr>
          <w:rFonts w:ascii="Verdana" w:eastAsia="Times New Roman" w:hAnsi="Verdana" w:cs="Times New Roman"/>
          <w:color w:val="333333"/>
          <w:sz w:val="21"/>
          <w:szCs w:val="21"/>
        </w:rPr>
        <w:t>Međunarodno zdravstveno osiguranje, prevoz, fakultativni izleti i individualni troškovi, kao i usluge hotela za koje je propisana obavezna doplata po cenovniku hotela, ostali individualni troškovi i nepomenute usluge. </w:t>
      </w:r>
      <w:r w:rsidRPr="00CC13F3">
        <w:rPr>
          <w:rFonts w:ascii="LatoLatinWeb" w:eastAsia="Times New Roman" w:hAnsi="LatoLatinWeb" w:cs="Times New Roman"/>
          <w:color w:val="333333"/>
          <w:sz w:val="21"/>
          <w:szCs w:val="21"/>
        </w:rPr>
        <w:br/>
      </w:r>
      <w:r w:rsidRPr="00CC13F3">
        <w:rPr>
          <w:rFonts w:ascii="LatoLatinWeb" w:eastAsia="Times New Roman" w:hAnsi="LatoLatinWeb" w:cs="Times New Roman"/>
          <w:color w:val="333333"/>
          <w:sz w:val="21"/>
          <w:szCs w:val="21"/>
        </w:rPr>
        <w:br/>
      </w:r>
      <w:r w:rsidRPr="00CC13F3">
        <w:rPr>
          <w:rFonts w:ascii="Verdana" w:eastAsia="Times New Roman" w:hAnsi="Verdana" w:cs="Times New Roman"/>
          <w:color w:val="333333"/>
          <w:sz w:val="21"/>
          <w:szCs w:val="21"/>
        </w:rPr>
        <w:t>Dinarski deo aranžmana iznosi 1.990,00 RSD po osobi, deca do 12 godina ne plaćaju dinarski deo. </w:t>
      </w:r>
      <w:r w:rsidRPr="00CC13F3">
        <w:rPr>
          <w:rFonts w:ascii="LatoLatinWeb" w:eastAsia="Times New Roman" w:hAnsi="LatoLatinWeb" w:cs="Times New Roman"/>
          <w:color w:val="333333"/>
          <w:sz w:val="21"/>
          <w:szCs w:val="21"/>
        </w:rPr>
        <w:br/>
      </w:r>
      <w:r w:rsidRPr="00CC13F3">
        <w:rPr>
          <w:rFonts w:ascii="LatoLatinWeb" w:eastAsia="Times New Roman" w:hAnsi="LatoLatinWeb" w:cs="Times New Roman"/>
          <w:color w:val="333333"/>
          <w:sz w:val="21"/>
          <w:szCs w:val="21"/>
        </w:rPr>
        <w:br/>
      </w:r>
      <w:r w:rsidRPr="00CC13F3">
        <w:rPr>
          <w:rFonts w:ascii="Verdana" w:eastAsia="Times New Roman" w:hAnsi="Verdana" w:cs="Times New Roman"/>
          <w:color w:val="333333"/>
          <w:sz w:val="21"/>
          <w:szCs w:val="21"/>
        </w:rPr>
        <w:t>Boravišna taksa će se računati kao fiksni iznos po danu i po sobi, u zavisnosti od vrste smeštaja i iznosiće: 4 € za hotele sa 5*, 3 € za hotele sa 4*, 1,5 € za hotele sa 3*, 0,5 € za hotele sa 1-2*, 0.5 € dnevno za privatne sobe, studija i apartmane, plaćaju se na licu mesta.</w:t>
      </w:r>
      <w:r w:rsidRPr="00CC13F3">
        <w:rPr>
          <w:rFonts w:ascii="LatoLatinWeb" w:eastAsia="Times New Roman" w:hAnsi="LatoLatinWeb" w:cs="Times New Roman"/>
          <w:color w:val="333333"/>
          <w:sz w:val="21"/>
          <w:szCs w:val="21"/>
        </w:rPr>
        <w:br/>
      </w:r>
      <w:r w:rsidRPr="00CC13F3">
        <w:rPr>
          <w:rFonts w:ascii="LatoLatinWeb" w:eastAsia="Times New Roman" w:hAnsi="LatoLatinWeb" w:cs="Times New Roman"/>
          <w:color w:val="333333"/>
          <w:sz w:val="21"/>
          <w:szCs w:val="21"/>
        </w:rPr>
        <w:br/>
      </w:r>
      <w:r w:rsidRPr="00CC13F3">
        <w:rPr>
          <w:rFonts w:ascii="Verdana" w:eastAsia="Times New Roman" w:hAnsi="Verdana" w:cs="Times New Roman"/>
          <w:b/>
          <w:bCs/>
          <w:color w:val="333333"/>
          <w:sz w:val="21"/>
          <w:szCs w:val="21"/>
        </w:rPr>
        <w:t>Važne napomene: </w:t>
      </w:r>
      <w:r w:rsidRPr="00CC13F3">
        <w:rPr>
          <w:rFonts w:ascii="LatoLatinWeb" w:eastAsia="Times New Roman" w:hAnsi="LatoLatinWeb" w:cs="Times New Roman"/>
          <w:color w:val="333333"/>
          <w:sz w:val="21"/>
          <w:szCs w:val="21"/>
        </w:rPr>
        <w:br/>
      </w:r>
      <w:r w:rsidRPr="00CC13F3">
        <w:rPr>
          <w:rFonts w:ascii="LatoLatinWeb" w:eastAsia="Times New Roman" w:hAnsi="LatoLatinWeb" w:cs="Times New Roman"/>
          <w:color w:val="333333"/>
          <w:sz w:val="21"/>
          <w:szCs w:val="21"/>
        </w:rPr>
        <w:br/>
      </w:r>
      <w:r w:rsidRPr="00CC13F3">
        <w:rPr>
          <w:rFonts w:ascii="Verdana" w:eastAsia="Times New Roman" w:hAnsi="Verdana" w:cs="Times New Roman"/>
          <w:color w:val="333333"/>
          <w:sz w:val="21"/>
          <w:szCs w:val="21"/>
        </w:rPr>
        <w:t>Program je individualan, rezervacija se vrši na upit. </w:t>
      </w:r>
      <w:r w:rsidRPr="00CC13F3">
        <w:rPr>
          <w:rFonts w:ascii="LatoLatinWeb" w:eastAsia="Times New Roman" w:hAnsi="LatoLatinWeb" w:cs="Times New Roman"/>
          <w:color w:val="333333"/>
          <w:sz w:val="21"/>
          <w:szCs w:val="21"/>
        </w:rPr>
        <w:br/>
      </w:r>
      <w:r w:rsidRPr="00CC13F3">
        <w:rPr>
          <w:rFonts w:ascii="LatoLatinWeb" w:eastAsia="Times New Roman" w:hAnsi="LatoLatinWeb" w:cs="Times New Roman"/>
          <w:color w:val="333333"/>
          <w:sz w:val="21"/>
          <w:szCs w:val="21"/>
        </w:rPr>
        <w:br/>
      </w:r>
      <w:r w:rsidRPr="00CC13F3">
        <w:rPr>
          <w:rFonts w:ascii="Verdana" w:eastAsia="Times New Roman" w:hAnsi="Verdana" w:cs="Times New Roman"/>
          <w:color w:val="333333"/>
          <w:sz w:val="21"/>
          <w:szCs w:val="21"/>
        </w:rPr>
        <w:t>Rok za potvrdu rezervacije aranžmana je najkasnije 2 radna dana od momenta prijave za putovanje i uplate akontacije. </w:t>
      </w:r>
      <w:r w:rsidRPr="00CC13F3">
        <w:rPr>
          <w:rFonts w:ascii="LatoLatinWeb" w:eastAsia="Times New Roman" w:hAnsi="LatoLatinWeb" w:cs="Times New Roman"/>
          <w:color w:val="333333"/>
          <w:sz w:val="21"/>
          <w:szCs w:val="21"/>
        </w:rPr>
        <w:br/>
      </w:r>
      <w:r w:rsidRPr="00CC13F3">
        <w:rPr>
          <w:rFonts w:ascii="LatoLatinWeb" w:eastAsia="Times New Roman" w:hAnsi="LatoLatinWeb" w:cs="Times New Roman"/>
          <w:color w:val="333333"/>
          <w:sz w:val="21"/>
          <w:szCs w:val="21"/>
        </w:rPr>
        <w:br/>
      </w:r>
      <w:r w:rsidRPr="00CC13F3">
        <w:rPr>
          <w:rFonts w:ascii="Verdana" w:eastAsia="Times New Roman" w:hAnsi="Verdana" w:cs="Times New Roman"/>
          <w:color w:val="333333"/>
          <w:sz w:val="21"/>
          <w:szCs w:val="21"/>
        </w:rPr>
        <w:t>Cena aranžmana za jednokrevetnu sobu se radi na upit.</w:t>
      </w:r>
      <w:r w:rsidRPr="00CC13F3">
        <w:rPr>
          <w:rFonts w:ascii="LatoLatinWeb" w:eastAsia="Times New Roman" w:hAnsi="LatoLatinWeb" w:cs="Times New Roman"/>
          <w:color w:val="333333"/>
          <w:sz w:val="21"/>
          <w:szCs w:val="21"/>
        </w:rPr>
        <w:br/>
      </w:r>
      <w:r w:rsidRPr="00CC13F3">
        <w:rPr>
          <w:rFonts w:ascii="LatoLatinWeb" w:eastAsia="Times New Roman" w:hAnsi="LatoLatinWeb" w:cs="Times New Roman"/>
          <w:color w:val="333333"/>
          <w:sz w:val="21"/>
          <w:szCs w:val="21"/>
        </w:rPr>
        <w:br/>
      </w:r>
      <w:r w:rsidRPr="00CC13F3">
        <w:rPr>
          <w:rFonts w:ascii="Verdana" w:eastAsia="Times New Roman" w:hAnsi="Verdana" w:cs="Times New Roman"/>
          <w:color w:val="333333"/>
          <w:sz w:val="21"/>
          <w:szCs w:val="21"/>
        </w:rPr>
        <w:t>Jedan hotelski dan, kao rezervisane usluge računa se od 14:00 časova datuma početka putovanja do10:00 časova poslednjeg dana aranžmana, bez obzira kada gost uđe u hotel. Svako korišćenje soba i usluga u hotelu prvog dana aranžmana pre 14:00 časova i poslednjeg dana nakon 10:00 časova iziskuje dodatna plaćanja, direktno na recepciji.</w:t>
      </w:r>
      <w:r w:rsidRPr="00CC13F3">
        <w:rPr>
          <w:rFonts w:ascii="LatoLatinWeb" w:eastAsia="Times New Roman" w:hAnsi="LatoLatinWeb" w:cs="Times New Roman"/>
          <w:color w:val="333333"/>
          <w:sz w:val="21"/>
          <w:szCs w:val="21"/>
        </w:rPr>
        <w:br/>
      </w:r>
      <w:r w:rsidRPr="00CC13F3">
        <w:rPr>
          <w:rFonts w:ascii="LatoLatinWeb" w:eastAsia="Times New Roman" w:hAnsi="LatoLatinWeb" w:cs="Times New Roman"/>
          <w:color w:val="333333"/>
          <w:sz w:val="21"/>
          <w:szCs w:val="21"/>
        </w:rPr>
        <w:br/>
      </w:r>
      <w:r w:rsidRPr="00CC13F3">
        <w:rPr>
          <w:rFonts w:ascii="Verdana" w:eastAsia="Times New Roman" w:hAnsi="Verdana" w:cs="Times New Roman"/>
          <w:color w:val="333333"/>
          <w:sz w:val="21"/>
          <w:szCs w:val="21"/>
        </w:rPr>
        <w:lastRenderedPageBreak/>
        <w:t>Raspodelu soba u hotelu vrši recepcija po dolasku u hotel. Agencija ne može uticati na spratnost, poziciju sobe, veličinu ležaja.</w:t>
      </w:r>
      <w:r w:rsidRPr="00CC13F3">
        <w:rPr>
          <w:rFonts w:ascii="LatoLatinWeb" w:eastAsia="Times New Roman" w:hAnsi="LatoLatinWeb" w:cs="Times New Roman"/>
          <w:color w:val="333333"/>
          <w:sz w:val="21"/>
          <w:szCs w:val="21"/>
        </w:rPr>
        <w:br/>
      </w:r>
      <w:r w:rsidRPr="00CC13F3">
        <w:rPr>
          <w:rFonts w:ascii="LatoLatinWeb" w:eastAsia="Times New Roman" w:hAnsi="LatoLatinWeb" w:cs="Times New Roman"/>
          <w:color w:val="333333"/>
          <w:sz w:val="21"/>
          <w:szCs w:val="21"/>
        </w:rPr>
        <w:br/>
      </w:r>
      <w:r w:rsidRPr="00CC13F3">
        <w:rPr>
          <w:rFonts w:ascii="Verdana" w:eastAsia="Times New Roman" w:hAnsi="Verdana" w:cs="Times New Roman"/>
          <w:color w:val="333333"/>
          <w:sz w:val="21"/>
          <w:szCs w:val="21"/>
        </w:rPr>
        <w:t>Dodatni ili pomoćni ležaj su manjih dimenzija od standardnog ležaja, drvene ili metalne konstrukcije ili sofa/fotelja na rasklapanje.</w:t>
      </w:r>
      <w:r w:rsidRPr="00CC13F3">
        <w:rPr>
          <w:rFonts w:ascii="LatoLatinWeb" w:eastAsia="Times New Roman" w:hAnsi="LatoLatinWeb" w:cs="Times New Roman"/>
          <w:color w:val="333333"/>
          <w:sz w:val="21"/>
          <w:szCs w:val="21"/>
        </w:rPr>
        <w:br/>
      </w:r>
      <w:r w:rsidRPr="00CC13F3">
        <w:rPr>
          <w:rFonts w:ascii="LatoLatinWeb" w:eastAsia="Times New Roman" w:hAnsi="LatoLatinWeb" w:cs="Times New Roman"/>
          <w:color w:val="333333"/>
          <w:sz w:val="21"/>
          <w:szCs w:val="21"/>
        </w:rPr>
        <w:br/>
      </w:r>
      <w:r w:rsidRPr="00CC13F3">
        <w:rPr>
          <w:rFonts w:ascii="Verdana" w:eastAsia="Times New Roman" w:hAnsi="Verdana" w:cs="Times New Roman"/>
          <w:color w:val="333333"/>
          <w:sz w:val="21"/>
          <w:szCs w:val="21"/>
        </w:rPr>
        <w:t>Specijalni zahtevi (pogled na more, francuski ležaj, lokacija sobe i slično) - agencija će proslediti specijalne zahteve putnika, ali nije u mogućnosti da garantuje njihovo dobijanje. Navodi o sadržaju određenih usluga ili sadržaja koje pruža hotel, ne podrazumeva obavezno besplatno korišćenje istih. Moguća je doplata, na licu mesta, na recepciji hotela za korišćenje pojedinih usluga (masaža, sauna, spa centar, fitnes, internet, sef, konzumacija pića i grickalica iz mini frižidera/mini bara, sportski tereni i slično).</w:t>
      </w:r>
      <w:r w:rsidRPr="00CC13F3">
        <w:rPr>
          <w:rFonts w:ascii="LatoLatinWeb" w:eastAsia="Times New Roman" w:hAnsi="LatoLatinWeb" w:cs="Times New Roman"/>
          <w:color w:val="333333"/>
          <w:sz w:val="21"/>
          <w:szCs w:val="21"/>
        </w:rPr>
        <w:br/>
      </w:r>
      <w:r w:rsidRPr="00CC13F3">
        <w:rPr>
          <w:rFonts w:ascii="LatoLatinWeb" w:eastAsia="Times New Roman" w:hAnsi="LatoLatinWeb" w:cs="Times New Roman"/>
          <w:color w:val="333333"/>
          <w:sz w:val="21"/>
          <w:szCs w:val="21"/>
        </w:rPr>
        <w:br/>
      </w:r>
      <w:r w:rsidRPr="00CC13F3">
        <w:rPr>
          <w:rFonts w:ascii="Verdana" w:eastAsia="Times New Roman" w:hAnsi="Verdana" w:cs="Times New Roman"/>
          <w:color w:val="333333"/>
          <w:sz w:val="21"/>
          <w:szCs w:val="21"/>
        </w:rPr>
        <w:t>Pravila oblačenja - u većini hotela za vreme večere u restoranima za muškarce je obavezno nošenje dugih pantalona ,a sve vrste kupaćih kostima su zabranjene.</w:t>
      </w:r>
      <w:r w:rsidRPr="00CC13F3">
        <w:rPr>
          <w:rFonts w:ascii="LatoLatinWeb" w:eastAsia="Times New Roman" w:hAnsi="LatoLatinWeb" w:cs="Times New Roman"/>
          <w:color w:val="333333"/>
          <w:sz w:val="21"/>
          <w:szCs w:val="21"/>
        </w:rPr>
        <w:br/>
      </w:r>
      <w:r w:rsidRPr="00CC13F3">
        <w:rPr>
          <w:rFonts w:ascii="LatoLatinWeb" w:eastAsia="Times New Roman" w:hAnsi="LatoLatinWeb" w:cs="Times New Roman"/>
          <w:color w:val="333333"/>
          <w:sz w:val="21"/>
          <w:szCs w:val="21"/>
        </w:rPr>
        <w:br/>
      </w:r>
      <w:r w:rsidRPr="00CC13F3">
        <w:rPr>
          <w:rFonts w:ascii="Verdana" w:eastAsia="Times New Roman" w:hAnsi="Verdana" w:cs="Times New Roman"/>
          <w:color w:val="333333"/>
          <w:sz w:val="21"/>
          <w:szCs w:val="21"/>
        </w:rPr>
        <w:t>Individualni transfer - putnici koji žele individualni transfer mogu zatražiti takvu uslugu prilikom rezervacije aranžmana. Ova usluga se dodatno plaća.</w:t>
      </w:r>
      <w:r w:rsidRPr="00CC13F3">
        <w:rPr>
          <w:rFonts w:ascii="LatoLatinWeb" w:eastAsia="Times New Roman" w:hAnsi="LatoLatinWeb" w:cs="Times New Roman"/>
          <w:color w:val="333333"/>
          <w:sz w:val="21"/>
          <w:szCs w:val="21"/>
        </w:rPr>
        <w:br/>
      </w:r>
      <w:r w:rsidRPr="00CC13F3">
        <w:rPr>
          <w:rFonts w:ascii="LatoLatinWeb" w:eastAsia="Times New Roman" w:hAnsi="LatoLatinWeb" w:cs="Times New Roman"/>
          <w:color w:val="333333"/>
          <w:sz w:val="21"/>
          <w:szCs w:val="21"/>
        </w:rPr>
        <w:br/>
      </w:r>
      <w:r w:rsidRPr="00CC13F3">
        <w:rPr>
          <w:rFonts w:ascii="Verdana" w:eastAsia="Times New Roman" w:hAnsi="Verdana" w:cs="Times New Roman"/>
          <w:b/>
          <w:bCs/>
          <w:color w:val="333333"/>
          <w:sz w:val="21"/>
          <w:szCs w:val="21"/>
        </w:rPr>
        <w:t>USLOVI PLAĆANJA:</w:t>
      </w:r>
      <w:r w:rsidRPr="00CC13F3">
        <w:rPr>
          <w:rFonts w:ascii="Verdana" w:eastAsia="Times New Roman" w:hAnsi="Verdana" w:cs="Times New Roman"/>
          <w:color w:val="333333"/>
          <w:sz w:val="21"/>
          <w:szCs w:val="21"/>
        </w:rPr>
        <w:br/>
      </w:r>
      <w:r w:rsidRPr="00CC13F3">
        <w:rPr>
          <w:rFonts w:ascii="Verdana" w:eastAsia="Times New Roman" w:hAnsi="Verdana" w:cs="Times New Roman"/>
          <w:color w:val="333333"/>
          <w:sz w:val="21"/>
          <w:szCs w:val="21"/>
        </w:rPr>
        <w:br/>
        <w:t>Cene aranžmana kao i svih drugih doplata su izražene u evrima (osim ako drugačije nije definisano). Plaćanje se vrši isključivo u dinarskoj protivvrednosti po prodajnom kursu INTESA banke na dan uplate. Cena je garantovana samo za uplatu kompletnog iznosa. U suprotnom, garantovan je samo iznos akontacije, a ostatak je podložan promeni.</w:t>
      </w:r>
      <w:r w:rsidRPr="00CC13F3">
        <w:rPr>
          <w:rFonts w:ascii="Verdana" w:eastAsia="Times New Roman" w:hAnsi="Verdana" w:cs="Times New Roman"/>
          <w:color w:val="333333"/>
          <w:sz w:val="21"/>
          <w:szCs w:val="21"/>
        </w:rPr>
        <w:br/>
      </w:r>
      <w:r w:rsidRPr="00CC13F3">
        <w:rPr>
          <w:rFonts w:ascii="Verdana" w:eastAsia="Times New Roman" w:hAnsi="Verdana" w:cs="Times New Roman"/>
          <w:color w:val="333333"/>
          <w:sz w:val="21"/>
          <w:szCs w:val="21"/>
        </w:rPr>
        <w:br/>
      </w:r>
      <w:r w:rsidRPr="00CC13F3">
        <w:rPr>
          <w:rFonts w:ascii="Verdana" w:eastAsia="Times New Roman" w:hAnsi="Verdana" w:cs="Times New Roman"/>
          <w:b/>
          <w:bCs/>
          <w:color w:val="333333"/>
          <w:sz w:val="21"/>
          <w:szCs w:val="21"/>
        </w:rPr>
        <w:t>NAČINI PLAĆANJA:</w:t>
      </w:r>
      <w:r w:rsidRPr="00CC13F3">
        <w:rPr>
          <w:rFonts w:ascii="Verdana" w:eastAsia="Times New Roman" w:hAnsi="Verdana" w:cs="Times New Roman"/>
          <w:color w:val="333333"/>
          <w:sz w:val="21"/>
          <w:szCs w:val="21"/>
        </w:rPr>
        <w:t> </w:t>
      </w:r>
      <w:r w:rsidRPr="00CC13F3">
        <w:rPr>
          <w:rFonts w:ascii="Verdana" w:eastAsia="Times New Roman" w:hAnsi="Verdana" w:cs="Times New Roman"/>
          <w:color w:val="333333"/>
          <w:sz w:val="21"/>
          <w:szCs w:val="21"/>
        </w:rPr>
        <w:br/>
      </w:r>
      <w:r w:rsidRPr="00CC13F3">
        <w:rPr>
          <w:rFonts w:ascii="Verdana" w:eastAsia="Times New Roman" w:hAnsi="Verdana" w:cs="Times New Roman"/>
          <w:color w:val="333333"/>
          <w:sz w:val="21"/>
          <w:szCs w:val="21"/>
        </w:rPr>
        <w:br/>
        <w:t>- Avans od najmanje 40% od ukupne cene aranžmana prilikom prijave, a ostatak najkasnije 15 dana pre polaska na put</w:t>
      </w:r>
      <w:r w:rsidRPr="00CC13F3">
        <w:rPr>
          <w:rFonts w:ascii="Verdana" w:eastAsia="Times New Roman" w:hAnsi="Verdana" w:cs="Times New Roman"/>
          <w:color w:val="333333"/>
          <w:sz w:val="21"/>
          <w:szCs w:val="21"/>
        </w:rPr>
        <w:br/>
        <w:t>- gotovinski,</w:t>
      </w:r>
      <w:r w:rsidRPr="00CC13F3">
        <w:rPr>
          <w:rFonts w:ascii="Verdana" w:eastAsia="Times New Roman" w:hAnsi="Verdana" w:cs="Times New Roman"/>
          <w:color w:val="333333"/>
          <w:sz w:val="21"/>
          <w:szCs w:val="21"/>
        </w:rPr>
        <w:br/>
        <w:t>- kreditnim karticama Intesa banke do 6 mesečnih rata,</w:t>
      </w:r>
      <w:r w:rsidRPr="00CC13F3">
        <w:rPr>
          <w:rFonts w:ascii="Verdana" w:eastAsia="Times New Roman" w:hAnsi="Verdana" w:cs="Times New Roman"/>
          <w:color w:val="333333"/>
          <w:sz w:val="21"/>
          <w:szCs w:val="21"/>
        </w:rPr>
        <w:br/>
        <w:t>- kreditnim karticama Komercijalne banke moguće je plaćati do 12 mesečnih rata,</w:t>
      </w:r>
      <w:r w:rsidRPr="00CC13F3">
        <w:rPr>
          <w:rFonts w:ascii="Verdana" w:eastAsia="Times New Roman" w:hAnsi="Verdana" w:cs="Times New Roman"/>
          <w:color w:val="333333"/>
          <w:sz w:val="21"/>
          <w:szCs w:val="21"/>
        </w:rPr>
        <w:br/>
        <w:t>- čekovima građana do 6 mesečnih rata,</w:t>
      </w:r>
      <w:r w:rsidRPr="00CC13F3">
        <w:rPr>
          <w:rFonts w:ascii="Verdana" w:eastAsia="Times New Roman" w:hAnsi="Verdana" w:cs="Times New Roman"/>
          <w:color w:val="333333"/>
          <w:sz w:val="21"/>
          <w:szCs w:val="21"/>
        </w:rPr>
        <w:br/>
        <w:t>- ostalim platnim karticama (Master, Visa, American Express, Maestro i Dina),</w:t>
      </w:r>
      <w:r w:rsidRPr="00CC13F3">
        <w:rPr>
          <w:rFonts w:ascii="Verdana" w:eastAsia="Times New Roman" w:hAnsi="Verdana" w:cs="Times New Roman"/>
          <w:color w:val="333333"/>
          <w:sz w:val="21"/>
          <w:szCs w:val="21"/>
        </w:rPr>
        <w:br/>
        <w:t>- preko računa,</w:t>
      </w:r>
    </w:p>
    <w:p w:rsidR="009F0464" w:rsidRDefault="009F0464"/>
    <w:sectPr w:rsidR="009F0464" w:rsidSect="009F0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atoLatinWeb">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13F3"/>
    <w:rsid w:val="009F0464"/>
    <w:rsid w:val="00CC13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3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2424511">
      <w:bodyDiv w:val="1"/>
      <w:marLeft w:val="0"/>
      <w:marRight w:val="0"/>
      <w:marTop w:val="0"/>
      <w:marBottom w:val="0"/>
      <w:divBdr>
        <w:top w:val="none" w:sz="0" w:space="0" w:color="auto"/>
        <w:left w:val="none" w:sz="0" w:space="0" w:color="auto"/>
        <w:bottom w:val="none" w:sz="0" w:space="0" w:color="auto"/>
        <w:right w:val="none" w:sz="0" w:space="0" w:color="auto"/>
      </w:divBdr>
      <w:divsChild>
        <w:div w:id="1367565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3128</Characters>
  <Application>Microsoft Office Word</Application>
  <DocSecurity>0</DocSecurity>
  <Lines>26</Lines>
  <Paragraphs>7</Paragraphs>
  <ScaleCrop>false</ScaleCrop>
  <Company>Toshiba</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Miki</dc:creator>
  <cp:lastModifiedBy>Miki</cp:lastModifiedBy>
  <cp:revision>1</cp:revision>
  <dcterms:created xsi:type="dcterms:W3CDTF">2018-11-27T21:27:00Z</dcterms:created>
  <dcterms:modified xsi:type="dcterms:W3CDTF">2018-11-27T21:44:00Z</dcterms:modified>
</cp:coreProperties>
</file>