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40" w:type="dxa"/>
        <w:tblBorders>
          <w:top w:val="single" w:sz="6" w:space="0" w:color="B3CC82"/>
          <w:left w:val="single" w:sz="6" w:space="0" w:color="B3CC82"/>
          <w:bottom w:val="single" w:sz="6" w:space="0" w:color="B3CC82"/>
          <w:right w:val="single" w:sz="6" w:space="0" w:color="B3CC82"/>
        </w:tblBorders>
        <w:shd w:val="clear" w:color="auto" w:fill="CDDDAC"/>
        <w:tblCellMar>
          <w:left w:w="0" w:type="dxa"/>
          <w:right w:w="0" w:type="dxa"/>
        </w:tblCellMar>
        <w:tblLook w:val="04A0"/>
      </w:tblPr>
      <w:tblGrid>
        <w:gridCol w:w="5124"/>
        <w:gridCol w:w="1929"/>
        <w:gridCol w:w="1929"/>
        <w:gridCol w:w="1929"/>
        <w:gridCol w:w="1929"/>
      </w:tblGrid>
      <w:tr w:rsidR="007B376D" w:rsidRPr="007B376D" w:rsidTr="007B376D"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inherit" w:eastAsia="Times New Roman" w:hAnsi="inherit" w:cs="Arial"/>
                <w:b/>
                <w:bCs/>
                <w:color w:val="723872"/>
                <w:spacing w:val="2"/>
                <w:sz w:val="21"/>
              </w:rPr>
              <w:t> PROMO CENA</w:t>
            </w:r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1090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1090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1090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1090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</w:tr>
      <w:tr w:rsidR="007B376D" w:rsidRPr="007B376D" w:rsidTr="007B376D"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inherit" w:eastAsia="Times New Roman" w:hAnsi="inherit" w:cs="Arial"/>
                <w:b/>
                <w:bCs/>
                <w:color w:val="723872"/>
                <w:spacing w:val="2"/>
                <w:sz w:val="21"/>
              </w:rPr>
              <w:t> FIRST MINUTE CENA</w:t>
            </w:r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1150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1150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1150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1150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</w:tr>
      <w:tr w:rsidR="007B376D" w:rsidRPr="007B376D" w:rsidTr="007B376D"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inherit" w:eastAsia="Times New Roman" w:hAnsi="inherit" w:cs="Arial"/>
                <w:b/>
                <w:bCs/>
                <w:color w:val="723872"/>
                <w:spacing w:val="2"/>
                <w:sz w:val="21"/>
              </w:rPr>
              <w:t> REGULARNA CENA</w:t>
            </w:r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1250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1250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1250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  <w:tc>
          <w:tcPr>
            <w:tcW w:w="0" w:type="auto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FFFFFF"/>
            <w:vAlign w:val="center"/>
            <w:hideMark/>
          </w:tcPr>
          <w:p w:rsidR="007B376D" w:rsidRPr="007B376D" w:rsidRDefault="007B376D" w:rsidP="007B3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</w:pPr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 xml:space="preserve">1250 </w:t>
            </w:r>
            <w:proofErr w:type="spellStart"/>
            <w:r w:rsidRPr="007B376D">
              <w:rPr>
                <w:rFonts w:ascii="Arial" w:eastAsia="Times New Roman" w:hAnsi="Arial" w:cs="Arial"/>
                <w:color w:val="723872"/>
                <w:spacing w:val="2"/>
                <w:sz w:val="21"/>
                <w:szCs w:val="21"/>
              </w:rPr>
              <w:t>eur</w:t>
            </w:r>
            <w:proofErr w:type="spellEnd"/>
          </w:p>
        </w:tc>
      </w:tr>
    </w:tbl>
    <w:p w:rsidR="007B376D" w:rsidRPr="007B376D" w:rsidRDefault="007B376D" w:rsidP="007B376D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723872"/>
          <w:spacing w:val="2"/>
          <w:sz w:val="21"/>
          <w:szCs w:val="21"/>
        </w:rPr>
      </w:pP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 </w:t>
      </w:r>
    </w:p>
    <w:p w:rsidR="007B376D" w:rsidRPr="007B376D" w:rsidRDefault="007B376D" w:rsidP="007B376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723872"/>
          <w:spacing w:val="2"/>
          <w:sz w:val="21"/>
          <w:szCs w:val="21"/>
        </w:rPr>
      </w:pP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Uslovi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plaćanja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</w:p>
    <w:p w:rsidR="007B376D" w:rsidRPr="007B376D" w:rsidRDefault="007B376D" w:rsidP="007B376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723872"/>
          <w:spacing w:val="2"/>
          <w:sz w:val="21"/>
          <w:szCs w:val="21"/>
        </w:rPr>
      </w:pP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uplate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vrše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isključivo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dinarskoj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protivrednosti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prodajenom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kursu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Vojvođanske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uplate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to: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prilikom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prijavljivanja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plaća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200€.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Preostali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deo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plaća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najkasnije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6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nedelja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put.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Postoji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opcija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iznos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najviše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200€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najkasnije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do 15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put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dinarskoj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protivvrednosti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.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Mogućnost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plaćanja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preko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računa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karticama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Visa, Master, Maestro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Dina.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Prijavljivanje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</w:p>
    <w:p w:rsidR="007B376D" w:rsidRPr="007B376D" w:rsidRDefault="007B376D" w:rsidP="007B376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723872"/>
          <w:spacing w:val="2"/>
          <w:sz w:val="21"/>
          <w:szCs w:val="21"/>
        </w:rPr>
      </w:pP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Preporučujemo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jer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broj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mesta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ograničen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.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Prilikom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potrebno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dostaviti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skeniranu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prvu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stranu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pasoša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suprotnom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snosi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odgovornost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štampanje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karata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pogrešnim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imenom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.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validna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jedino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uz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uplatu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avansa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Dokumenta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potrebno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dostaviti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najkasnije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mesec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put.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Ukoliko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putnici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dokumenta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navedenom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roku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obezbede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.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Ukoliko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putnici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pribavljaju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kopiju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do 15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put.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 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Cena</w:t>
      </w:r>
      <w:proofErr w:type="spellEnd"/>
      <w:r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aranžmana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obuhvata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Povratnu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kartu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Beograd-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Tokio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taksama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Noćenja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višekrevetnim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sobama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hostelu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Lokalne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transfere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transfere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između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gradova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Kompletnu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organizaciju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vođenje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 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Cena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aranžmana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ne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obuhvata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Međunarodno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zdravstveno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osiguranje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(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može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uzeti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)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Opcionu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doplatu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dvokrevetnu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sobu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– 180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eur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osobi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Individualne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troškove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nastale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vreme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trajanja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Fakultativne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izlete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ulaznice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kulturno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istorijske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spomenike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Troškove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vađenja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nisu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državljani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Republike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Srbije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Napomene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Opšte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 xml:space="preserve"> </w:t>
      </w:r>
      <w:proofErr w:type="spellStart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napomene</w:t>
      </w:r>
      <w:proofErr w:type="spellEnd"/>
      <w:r w:rsidRPr="007B376D">
        <w:rPr>
          <w:rFonts w:ascii="inherit" w:eastAsia="Times New Roman" w:hAnsi="inherit" w:cs="Arial"/>
          <w:b/>
          <w:bCs/>
          <w:color w:val="723872"/>
          <w:spacing w:val="2"/>
          <w:sz w:val="21"/>
        </w:rPr>
        <w:t>:</w:t>
      </w:r>
    </w:p>
    <w:p w:rsidR="007B376D" w:rsidRPr="007B376D" w:rsidRDefault="007B376D" w:rsidP="007B376D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723872"/>
          <w:spacing w:val="2"/>
          <w:sz w:val="21"/>
          <w:szCs w:val="21"/>
        </w:rPr>
      </w:pP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Organizator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zadržava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pojedinih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sadržaja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Organizator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ovlašćen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ceni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valjanost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drugih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isprava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informacije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date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usmenim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putem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snosi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odgovornost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Potpisnik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Ugovora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o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predstavnik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grupe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obavezan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upozna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ugovorenim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uslovima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plaćanja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viziranja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OPŠTIM USLOVIMA PUTOVANJA ORGANIZATORA.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Putnici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put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provere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tačno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vreme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mesto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polaska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grupe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upozna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pravilima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ponašanja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zemlje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putuje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poštuje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važeće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zakonske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carinske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propise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sredstvima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najstrože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zabranjeno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pušenje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konzumiranje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alkohola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opojnih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sredstava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svojim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neadekvatnim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ponašanjem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uznemirava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druge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ometa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vozače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pratioca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poslu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biće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odmah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isključen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odgovornost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prelazi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njega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bez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žalbu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povraćaj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novca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poštuje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satnicu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određenu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strane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predstavnika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lastRenderedPageBreak/>
        <w:t>suprotnom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predstavnik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isključi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  <w:t xml:space="preserve">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turističkim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autobusima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moguća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upotreba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toaleta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;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skladu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pauze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3-4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(u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zavisnosti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lokacije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opremljenosti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benzinske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stanice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)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putnici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mogu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iskoristiti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upotrebu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toaleta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određuje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raspored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sedenja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mesto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polaska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mesta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pauzu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dužinu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;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uplatom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prihvata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gore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navedeno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bez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prigovor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žalbu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rađen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bazi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minumum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10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daleka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50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evropska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  <w:t xml:space="preserve">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slučaju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nedovoljnog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broja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relizaciju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drugih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objektivnih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okolnosti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organizator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obaveštava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o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otkazu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najkasnije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10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pre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datuma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polaska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daleka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5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pre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datuma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polaska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evropska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uključuju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nakon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kupovine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karata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nemoguće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refundiranje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istih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tom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slučaju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važe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uslovi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kompanija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uključuju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low cost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kompanija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slučaju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odlaganja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leta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otkaza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gubitka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konekcije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putnici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dužni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plate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novonastale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troškove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može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utiče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okolnosti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van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njenog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dometa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Cene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low cost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podložne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uplati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avansa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proveravaju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tarife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potvrđuje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cena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ne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snosi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odgovornost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usled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konekcija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strane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kompanije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Satnice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letova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navedene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dobijene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strane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podložne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isključivo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zavise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avio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kompanije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zadržava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odabira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prevoznog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sredstva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transfere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vrši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do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smeštaja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ukoliko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to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fizički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moguće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Organizator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zadržava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pravo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korekcije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ugovorene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cene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pre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početka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usled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kursu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razmene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valute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tarifama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prevoznika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zakonom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predviđenim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slučajevima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ponuđene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dostupne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opcione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doplate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vezi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smeštajem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potrebno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izjasniti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prilikom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Ukoliko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neki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odluči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promeni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deo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agencija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nema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odgovornost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tom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obezbedi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transfer/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raniji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kasniji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check in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ili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check out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smeštaj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/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drugačija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noćenja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u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smeštajima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od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onoga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što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predviđeno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planom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programom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Prilikom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prijave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potrebno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dostaviti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kopiju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pasoša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/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podatke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pasoša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kojim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će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putovati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na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samo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.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Obavezno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je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putnik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proveri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trajanje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ispravnost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putnog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dokumenta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,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kao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broj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slobodnih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stranica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potrebnih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putovanje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br/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Za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ovaj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aranžman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primenjuju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se OPŠTI USLOVI PUTOVANJA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uskladjeni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</w:t>
      </w:r>
      <w:proofErr w:type="spellStart"/>
      <w:proofErr w:type="gram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sa</w:t>
      </w:r>
      <w:proofErr w:type="spellEnd"/>
      <w:proofErr w:type="gram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 xml:space="preserve"> YUTA </w:t>
      </w:r>
      <w:proofErr w:type="spellStart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standardom</w:t>
      </w:r>
      <w:proofErr w:type="spellEnd"/>
      <w:r w:rsidRPr="007B376D">
        <w:rPr>
          <w:rFonts w:ascii="Arial" w:eastAsia="Times New Roman" w:hAnsi="Arial" w:cs="Arial"/>
          <w:color w:val="723872"/>
          <w:spacing w:val="2"/>
          <w:sz w:val="21"/>
          <w:szCs w:val="21"/>
        </w:rPr>
        <w:t>.</w:t>
      </w:r>
    </w:p>
    <w:p w:rsidR="009F0464" w:rsidRDefault="009F0464"/>
    <w:sectPr w:rsidR="009F0464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76D"/>
    <w:rsid w:val="007B376D"/>
    <w:rsid w:val="009F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802</Words>
  <Characters>4574</Characters>
  <Application>Microsoft Office Word</Application>
  <DocSecurity>0</DocSecurity>
  <Lines>38</Lines>
  <Paragraphs>10</Paragraphs>
  <ScaleCrop>false</ScaleCrop>
  <Company>Toshiba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2018-11-27T18:48:00Z</dcterms:created>
  <dcterms:modified xsi:type="dcterms:W3CDTF">2018-11-27T20:09:00Z</dcterms:modified>
</cp:coreProperties>
</file>