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 w:eastAsia="SimHei"/>
          <w:color w:val="0D5E33"/>
          <w:sz w:val="36"/>
        </w:rPr>
        <w:t>绿算治策 · 视觉设计与使用说明</w:t>
      </w:r>
    </w:p>
    <w:p>
      <w:pPr>
        <w:spacing w:line="360" w:lineRule="auto"/>
      </w:pPr>
      <w:r>
        <w:rPr>
          <w:rFonts w:ascii="SimSun" w:hAnsi="SimSun" w:eastAsia="SimSun"/>
          <w:b/>
          <w:sz w:val="22"/>
        </w:rPr>
        <w:t>附录三：系统视觉设计风格、配色方案、操作流程</w:t>
      </w:r>
    </w:p>
    <w:p>
      <w:pPr>
        <w:spacing w:line="360" w:lineRule="auto"/>
      </w:pPr>
      <w:r>
        <w:rPr>
          <w:rFonts w:ascii="SimSun" w:hAnsi="SimSun" w:eastAsia="SimSun"/>
          <w:b w:val="0"/>
          <w:sz w:val="21"/>
        </w:rPr>
        <w:t>生成日期：2026-05-17</w:t>
      </w:r>
    </w:p>
    <w:p/>
    <w:p>
      <w:pPr>
        <w:pStyle w:val="Heading2"/>
      </w:pPr>
      <w:r>
        <w:rPr>
          <w:rFonts w:ascii="SimHei" w:hAnsi="SimHei" w:eastAsia="SimHei"/>
          <w:color w:val="0D5E33"/>
          <w:sz w:val="28"/>
        </w:rPr>
        <w:t>一、视觉设计风格</w:t>
      </w:r>
    </w:p>
    <w:p>
      <w:pPr>
        <w:spacing w:line="360" w:lineRule="auto"/>
      </w:pPr>
      <w:r>
        <w:rPr>
          <w:rFonts w:ascii="SimSun" w:hAnsi="SimSun" w:eastAsia="SimSun"/>
          <w:b w:val="0"/>
          <w:sz w:val="21"/>
        </w:rPr>
        <w:t>整体风格定位：专业·清晰·可信。面向政府部门工作人员及竞赛评审专家，强调数据的可读性和工具的专业性。</w:t>
      </w:r>
    </w:p>
    <w:p>
      <w:pPr>
        <w:pStyle w:val="Heading3"/>
      </w:pPr>
      <w:r>
        <w:rPr>
          <w:rFonts w:ascii="SimHei" w:hAnsi="SimHei" w:eastAsia="SimHei"/>
          <w:color w:val="0D5E33"/>
          <w:sz w:val="24"/>
        </w:rPr>
        <w:t>配色系统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色名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色号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深绿（主色）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#0D5E33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顶栏背景、标题文字、主按钮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中绿（辅色）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#1A7A45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生态构建型标签、数据高亮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蓝色（辅色）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#005FC8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资源转化型标签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橙色（警示色）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#E67E00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风险提示、你的数据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浅绿（背景色）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#F4F8F6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页面底色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白色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#FFFFFF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卡片背景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0D5E33"/>
          <w:sz w:val="28"/>
        </w:rPr>
        <w:t>二、系统操作流程</w:t>
      </w:r>
    </w:p>
    <w:p>
      <w:pPr>
        <w:pStyle w:val="ListNumber"/>
      </w:pPr>
      <w:r>
        <w:rPr>
          <w:rFonts w:ascii="SimSun" w:hAnsi="SimSun" w:eastAsia="SimSun"/>
          <w:sz w:val="20"/>
        </w:rPr>
        <w:t>第一步：打开网页 - 在浏览器打开绿算治策页面，无需注册或登录</w:t>
      </w:r>
    </w:p>
    <w:p>
      <w:pPr>
        <w:pStyle w:val="ListNumber"/>
      </w:pPr>
      <w:r>
        <w:rPr>
          <w:rFonts w:ascii="SimSun" w:hAnsi="SimSun" w:eastAsia="SimSun"/>
          <w:sz w:val="20"/>
        </w:rPr>
        <w:t>第二步：输入地区名称 - 在最上方文本框中输入你的地区名称</w:t>
      </w:r>
    </w:p>
    <w:p>
      <w:pPr>
        <w:pStyle w:val="ListNumber"/>
      </w:pPr>
      <w:r>
        <w:rPr>
          <w:rFonts w:ascii="SimSun" w:hAnsi="SimSun" w:eastAsia="SimSun"/>
          <w:sz w:val="20"/>
        </w:rPr>
        <w:t>第三步：填写8项参数 - 在输入区填写你地区的8项真实数据</w:t>
      </w:r>
    </w:p>
    <w:p>
      <w:pPr>
        <w:pStyle w:val="ListNumber"/>
      </w:pPr>
      <w:r>
        <w:rPr>
          <w:rFonts w:ascii="SimSun" w:hAnsi="SimSun" w:eastAsia="SimSun"/>
          <w:sz w:val="20"/>
        </w:rPr>
        <w:t>第四步：生成报告 - 点击「生成评估报告」按钮</w:t>
      </w:r>
    </w:p>
    <w:p>
      <w:pPr>
        <w:pStyle w:val="ListNumber"/>
      </w:pPr>
      <w:r>
        <w:rPr>
          <w:rFonts w:ascii="SimSun" w:hAnsi="SimSun" w:eastAsia="SimSun"/>
          <w:sz w:val="20"/>
        </w:rPr>
        <w:t>第五步：查看结果 - 阅读路径判定、三维评分、雷达图、参数对比</w:t>
      </w:r>
    </w:p>
    <w:p>
      <w:pPr>
        <w:pStyle w:val="ListNumber"/>
      </w:pPr>
      <w:r>
        <w:rPr>
          <w:rFonts w:ascii="SimSun" w:hAnsi="SimSun" w:eastAsia="SimSun"/>
          <w:sz w:val="20"/>
        </w:rPr>
        <w:t>第六步：查看建议 - 第4部分展开展发展建议和风险提示</w:t>
      </w:r>
    </w:p>
    <w:p>
      <w:pPr>
        <w:pStyle w:val="ListNumber"/>
      </w:pPr>
      <w:r>
        <w:rPr>
          <w:rFonts w:ascii="SimSun" w:hAnsi="SimSun" w:eastAsia="SimSun"/>
          <w:sz w:val="20"/>
        </w:rPr>
        <w:t>第七步：参数诊断 - 查看参数短板诊断和优势维度</w:t>
      </w:r>
    </w:p>
    <w:p>
      <w:pPr>
        <w:pStyle w:val="ListNumber"/>
      </w:pPr>
      <w:r>
        <w:rPr>
          <w:rFonts w:ascii="SimSun" w:hAnsi="SimSun" w:eastAsia="SimSun"/>
          <w:sz w:val="20"/>
        </w:rPr>
        <w:t>第八步：导出报告 - 点击「导出报告」按钮，选择Word或PDF格式</w:t>
      </w:r>
    </w:p>
    <w:p/>
    <w:p>
      <w:pPr>
        <w:pStyle w:val="Heading2"/>
      </w:pPr>
      <w:r>
        <w:rPr>
          <w:rFonts w:ascii="SimHei" w:hAnsi="SimHei" w:eastAsia="SimHei"/>
          <w:color w:val="0D5E33"/>
          <w:sz w:val="28"/>
        </w:rPr>
        <w:t>三、功能模块说明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模块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功能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用户价值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路径匹配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TOPSIS算法计算匹配度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知道自己的地区适合哪条发展路径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三维评分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资源转化/公共支撑/生态构建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了解三个维度的强弱分布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雷达图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SVG绘制的三维可视化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直观对比与标杆案例的差距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参数对比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8项参数的得分柱状图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找到具体短板参数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建议数据库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48条建议按路径匹配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获得可操作的具体建议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短板诊断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自动识别低分参数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知道优先改进方向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导出功能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Word/.doc 和 PDF 两种格式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下载报告用于汇报和存档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0D5E33"/>
          <w:sz w:val="28"/>
        </w:rPr>
        <w:t>四、系统技术特点</w:t>
      </w:r>
    </w:p>
    <w:p>
      <w:pPr>
        <w:pStyle w:val="ListBullet"/>
      </w:pPr>
      <w:r>
        <w:rPr>
          <w:rFonts w:ascii="SimSun" w:hAnsi="SimSun" w:eastAsia="SimSun"/>
          <w:sz w:val="20"/>
        </w:rPr>
        <w:t>纯前端实现，无后端依赖，无需数据库</w:t>
      </w:r>
    </w:p>
    <w:p>
      <w:pPr>
        <w:pStyle w:val="ListBullet"/>
      </w:pPr>
      <w:r>
        <w:rPr>
          <w:rFonts w:ascii="SimSun" w:hAnsi="SimSun" w:eastAsia="SimSun"/>
          <w:sz w:val="20"/>
        </w:rPr>
        <w:t>所有计算在浏览器本地完成，数据不上传服务器</w:t>
      </w:r>
    </w:p>
    <w:p>
      <w:pPr>
        <w:pStyle w:val="ListBullet"/>
      </w:pPr>
      <w:r>
        <w:rPr>
          <w:rFonts w:ascii="SimSun" w:hAnsi="SimSun" w:eastAsia="SimSun"/>
          <w:sz w:val="20"/>
        </w:rPr>
        <w:t>响应式设计，支持手机端和电脑端</w:t>
      </w:r>
    </w:p>
    <w:p>
      <w:pPr>
        <w:pStyle w:val="ListBullet"/>
      </w:pPr>
      <w:r>
        <w:rPr>
          <w:rFonts w:ascii="SimSun" w:hAnsi="SimSun" w:eastAsia="SimSun"/>
          <w:sz w:val="20"/>
        </w:rPr>
        <w:t>零外部依赖（无第三方Cookie或跟踪器）</w:t>
      </w:r>
    </w:p>
    <w:p>
      <w:pPr>
        <w:pStyle w:val="ListBullet"/>
      </w:pPr>
      <w:r>
        <w:rPr>
          <w:rFonts w:ascii="SimSun" w:hAnsi="SimSun" w:eastAsia="SimSun"/>
          <w:sz w:val="20"/>
        </w:rPr>
        <w:t>绿色环保主题配色，#0D5E33 深绿为主色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