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 w:eastAsia="SimHei"/>
          <w:color w:val="0D5E33"/>
          <w:sz w:val="36"/>
        </w:rPr>
        <w:t>绿算治策 · 数据与底表</w:t>
      </w:r>
    </w:p>
    <w:p>
      <w:pPr>
        <w:spacing w:line="360" w:lineRule="auto"/>
      </w:pPr>
      <w:r>
        <w:rPr>
          <w:rFonts w:ascii="SimSun" w:hAnsi="SimSun" w:eastAsia="SimSun"/>
          <w:b/>
          <w:sz w:val="22"/>
        </w:rPr>
        <w:t>附录一：绿色算力产业治理决策支持系统基础数据与建议数据库</w:t>
      </w:r>
    </w:p>
    <w:p>
      <w:pPr>
        <w:spacing w:line="360" w:lineRule="auto"/>
      </w:pPr>
      <w:r>
        <w:rPr>
          <w:rFonts w:ascii="SimSun" w:hAnsi="SimSun" w:eastAsia="SimSun"/>
          <w:b w:val="0"/>
          <w:sz w:val="21"/>
        </w:rPr>
        <w:t>生成日期：2026-05-17</w:t>
      </w:r>
    </w:p>
    <w:p/>
    <w:p>
      <w:pPr>
        <w:pStyle w:val="Heading2"/>
      </w:pPr>
      <w:r>
        <w:rPr>
          <w:rFonts w:ascii="SimHei" w:hAnsi="SimHei" w:eastAsia="SimHei"/>
          <w:color w:val="0D5E33"/>
          <w:sz w:val="28"/>
        </w:rPr>
        <w:t>一、八项评估参数说明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color w:val="0D5E33"/>
                <w:sz w:val="18"/>
              </w:rPr>
              <w:t>编号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color w:val="0D5E33"/>
                <w:sz w:val="18"/>
              </w:rPr>
              <w:t>参数名称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color w:val="0D5E33"/>
                <w:sz w:val="18"/>
              </w:rPr>
              <w:t>单位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color w:val="0D5E33"/>
                <w:sz w:val="18"/>
              </w:rPr>
              <w:t>取值范围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color w:val="0D5E33"/>
                <w:sz w:val="18"/>
              </w:rPr>
              <w:t>数据说明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①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行政层级指数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级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1~5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1=乡镇 2=县级 3=地级市 4=副省级 5=直辖市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②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一般公共预算收入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亿元/年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0~500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地方年可支配财力，非GDP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③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数字/算力企业数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家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0~400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注册并实际运营的数字经济企业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④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工业用电均价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元/度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0.03~0.80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大工业用电综合价（含补贴）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⑤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年平均气温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℃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0~25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影响数据中心自然冷却与PUE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可用产业用地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亩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0~50000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可连片开发面积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⑦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算力应用场景数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类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0~12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算力可服务的行业类型数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⑧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高等教育/科研机构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所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0~30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本科院校、专科院校及科研院所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color w:val="0D5E33"/>
          <w:sz w:val="28"/>
        </w:rPr>
        <w:t>二、权重分配表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color w:val="0D5E33"/>
                <w:sz w:val="18"/>
              </w:rPr>
              <w:t>维度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color w:val="0D5E33"/>
                <w:sz w:val="18"/>
              </w:rPr>
              <w:t>权重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color w:val="0D5E33"/>
                <w:sz w:val="18"/>
              </w:rPr>
              <w:t>包含参数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color w:val="0D5E33"/>
                <w:sz w:val="18"/>
              </w:rPr>
              <w:t>各参数权重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资源转化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30%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电价·气温·用地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电价16.67% 气温10% 用地5%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公共支撑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25%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财政收入·行政层级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财政收入15% 行政层级10%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生态构建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30%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企业数·场景·高校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企业12.5% 场景12.5% 高校5%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政府角色(折算)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15%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行政·财政·企业·高校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综合折算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color w:val="0D5E33"/>
          <w:sz w:val="28"/>
        </w:rPr>
        <w:t>三、发展建议数据库（共48条）</w:t>
      </w:r>
    </w:p>
    <w:p>
      <w:pPr>
        <w:spacing w:line="360" w:lineRule="auto"/>
      </w:pPr>
      <w:r>
        <w:rPr>
          <w:rFonts w:ascii="SimSun" w:hAnsi="SimSun" w:eastAsia="SimSun"/>
          <w:b w:val="0"/>
          <w:sz w:val="21"/>
        </w:rPr>
        <w:t>根据TOPSIS路径匹配结果，系统从以下数据库中自动匹配对应建议。</w:t>
      </w:r>
    </w:p>
    <w:p>
      <w:pPr>
        <w:pStyle w:val="Heading3"/>
      </w:pPr>
      <w:r>
        <w:rPr>
          <w:rFonts w:ascii="SimHei" w:hAnsi="SimHei" w:eastAsia="SimHei"/>
          <w:color w:val="0D5E33"/>
          <w:sz w:val="24"/>
        </w:rPr>
        <w:t>生态构建型（适合财政强·产业优·场景多的地区）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color w:val="0D5E33"/>
                <w:sz w:val="18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color w:val="0D5E33"/>
                <w:sz w:val="18"/>
              </w:rPr>
              <w:t>序号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color w:val="0D5E33"/>
                <w:sz w:val="18"/>
              </w:rPr>
              <w:t>建议内容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行动建议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设立产业引导基金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行动建议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发放算力券降低用算门槛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行动建议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开放政务·能源·文旅等城市应用场景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行动建议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搭建公共算力服务平台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行动建议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实施人才引进+联合培养政策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行动建议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6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规划绿电直供+液冷，控制PUE≤1.10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行动建议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7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推动龙头企业落地带动产业链集聚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行动建议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8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建立产业技术创新联盟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行动建议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9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建设产业数字化监测平台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行动建议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10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融入全国一体化算力网络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风险提示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财政补贴依赖风险——需建立退出机制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风险提示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产业地产化空置——土地供应与需求挂钩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风险提示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人才留存困难——需配套软环境建设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风险提示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算力产能过剩——匹配消纳能力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风险提示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单一企业过度依赖——培育第二梯队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风险提示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6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绿电供应波动——配套储能设施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color w:val="0D5E33"/>
          <w:sz w:val="24"/>
        </w:rPr>
        <w:t>资源转化型（适合成本低·资源优的地区）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color w:val="0D5E33"/>
                <w:sz w:val="18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color w:val="0D5E33"/>
                <w:sz w:val="18"/>
              </w:rPr>
              <w:t>序号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color w:val="0D5E33"/>
                <w:sz w:val="18"/>
              </w:rPr>
              <w:t>建议内容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行动建议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集中财政投向硬基建（输变电·园区·三网）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行动建议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发挥电价·地价·气候成本优势招商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行动建议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建设跨区域高速光纤网络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行动建议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主动对接东部算力消费市场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行动建议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初期聚焦数据存储·灾备·离线训练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行动建议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6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基础设施按T级标准一次性规划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行动建议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7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探索绿电+储能柔性供电方案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行动建议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8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接入跨省算力交易平台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行动建议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9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争取国家级绿色算力试点政策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行动建议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10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滚动开发控制节奏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风险提示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产能空置风险——分期建设按需扩容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风险提示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单一客户依赖——分散客户结构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风险提示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绿电波动风险——需双回路保障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风险提示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生态厚度短板——补齐人才金融短板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风险提示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低端价格锁定——避免纯价格竞争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风险提示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6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远离东部市场——优化网络架构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color w:val="0D5E33"/>
          <w:sz w:val="24"/>
        </w:rPr>
        <w:t>混合型（条件均衡·需精准突破）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color w:val="0D5E33"/>
                <w:sz w:val="18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color w:val="0D5E33"/>
                <w:sz w:val="18"/>
              </w:rPr>
              <w:t>序号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color w:val="0D5E33"/>
                <w:sz w:val="18"/>
              </w:rPr>
              <w:t>建议内容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行动建议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资源端占优→优先资源转化路径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行动建议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产业端占优→逐步向生态构建过渡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行动建议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首期投资小范围试点验证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行动建议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选择1-2个领域集中突破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行动建议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制定三年阶梯式发展路线图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行动建议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6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每半年动态评估复盘调整策略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行动建议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7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争取上级政府专项资金支持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行动建议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8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专注差异化细分市场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行动建议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9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优先补齐基础设施短板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行动建议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10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有序推进产业发展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风险提示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方向摇摆——坚持主路径至少2年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风险提示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同质化竞争——注重差异化定位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风险提示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基础薄弱——先补短板再扩张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风险提示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首期投资过大——量力而行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风险提示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急于求成——产业培育需3-5年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风险提示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6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什么都想抓——必须聚焦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color w:val="0D5E33"/>
          <w:sz w:val="28"/>
        </w:rPr>
        <w:t>四、两个标杆案例数据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color w:val="0D5E33"/>
                <w:sz w:val="18"/>
              </w:rPr>
              <w:t>参数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color w:val="0D5E33"/>
                <w:sz w:val="18"/>
              </w:rPr>
              <w:t>克拉玛依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color w:val="0D5E33"/>
                <w:sz w:val="18"/>
              </w:rPr>
              <w:t>伊吾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行政层级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3级（地级市）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2级（县级）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一般公共预算收入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122.2亿元/年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38.13亿元/年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算力企业数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185家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19家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工业用电均价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0.055元/度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0.275元/度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年均气温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8.5℃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4.5℃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可用产业用地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22,600亩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1,400亩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算力应用场景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7类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2类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高教/科研机构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2所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0所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发展路径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生态构建型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资源转化型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PUE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1.08（液冷）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1.15-1.2（风冷）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算力规模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17,000P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20,000P+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产业基金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50亿元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无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