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绿算治策 · 模型逻辑关系说明</w:t>
      </w:r>
    </w:p>
    <w:p>
      <w:r>
        <w:rPr>
          <w:i/>
          <w:color w:val="646464"/>
        </w:rPr>
        <w:t>完整阐述决策辅助模型的原理、公式推导、权重计算与数据流</w:t>
      </w:r>
    </w:p>
    <w:p>
      <w:r>
        <w:t>――――――――――――――――――――――――――――――</w:t>
      </w:r>
    </w:p>
    <w:p>
      <w:pPr>
        <w:pStyle w:val="Heading2"/>
      </w:pPr>
      <w:r>
        <w:t>一、模型定位与核心原理</w:t>
      </w:r>
    </w:p>
    <w:p>
      <w:pPr>
        <w:pStyle w:val="Heading3"/>
      </w:pPr>
      <w:r>
        <w:t>1.1 模型是什么</w:t>
      </w:r>
    </w:p>
    <w:p>
      <w:r>
        <w:t>绿算治策是一个**基于案例相似度匹配的决策辅助模型**。</w:t>
      </w:r>
    </w:p>
    <w:p>
      <w:r>
        <w:t>它的核心逻辑是：</w:t>
      </w:r>
    </w:p>
    <w:p>
      <w:pPr>
        <w:jc w:val="left"/>
      </w:pPr>
      <w:r>
        <w:rPr>
          <w:color w:val="646464"/>
          <w:sz w:val="18"/>
        </w:rPr>
        <w:t>```</w:t>
      </w:r>
    </w:p>
    <w:p>
      <w:r>
        <w:rPr>
          <w:rFonts w:ascii="Consolas" w:hAnsi="Consolas"/>
          <w:sz w:val="18"/>
        </w:rPr>
        <w:t>用户输入自己地区的8项数据</w:t>
      </w:r>
    </w:p>
    <w:p>
      <w:r>
        <w:rPr>
          <w:rFonts w:ascii="Consolas" w:hAnsi="Consolas"/>
          <w:sz w:val="18"/>
        </w:rPr>
        <w:t xml:space="preserve">        ↓</w:t>
      </w:r>
    </w:p>
    <w:p>
      <w:r>
        <w:rPr>
          <w:rFonts w:ascii="Consolas" w:hAnsi="Consolas"/>
          <w:sz w:val="18"/>
        </w:rPr>
        <w:t>与两个已知路径的真实案例（克拉玛依、伊吾）做比对</w:t>
      </w:r>
    </w:p>
    <w:p>
      <w:r>
        <w:rPr>
          <w:rFonts w:ascii="Consolas" w:hAnsi="Consolas"/>
          <w:sz w:val="18"/>
        </w:rPr>
        <w:t xml:space="preserve">        ↓</w:t>
      </w:r>
    </w:p>
    <w:p>
      <w:r>
        <w:rPr>
          <w:rFonts w:ascii="Consolas" w:hAnsi="Consolas"/>
          <w:sz w:val="18"/>
        </w:rPr>
        <w:t>看用户和谁的数据更"像"</w:t>
      </w:r>
    </w:p>
    <w:p>
      <w:r>
        <w:rPr>
          <w:rFonts w:ascii="Consolas" w:hAnsi="Consolas"/>
          <w:sz w:val="18"/>
        </w:rPr>
        <w:t xml:space="preserve">        ↓</w:t>
      </w:r>
    </w:p>
    <w:p>
      <w:r>
        <w:rPr>
          <w:rFonts w:ascii="Consolas" w:hAnsi="Consolas"/>
          <w:sz w:val="18"/>
        </w:rPr>
        <w:t>输出用户的路径建议</w:t>
      </w:r>
    </w:p>
    <w:p>
      <w:pPr>
        <w:jc w:val="left"/>
      </w:pPr>
      <w:r>
        <w:rPr>
          <w:color w:val="646464"/>
          <w:sz w:val="18"/>
        </w:rPr>
      </w:r>
    </w:p>
    <w:p>
      <w:pPr>
        <w:pStyle w:val="Heading3"/>
      </w:pPr>
      <w:r>
        <w:t>1.2 核心原理：多维空间相似度测量</w:t>
      </w:r>
    </w:p>
    <w:p>
      <w:r>
        <w:t>**原理名称：加权归一化欧氏距离**</w:t>
      </w:r>
    </w:p>
    <w:p>
      <w:r>
        <w:t>**英文：Weighted Normalized Euclidean Distance**</w:t>
      </w:r>
    </w:p>
    <w:p>
      <w:r>
        <w:t>**所属学科：多准则决策分析（MCDA）**</w:t>
      </w:r>
    </w:p>
    <w:p>
      <w:r>
        <w:t>**一段话解释：**</w:t>
      </w:r>
    </w:p>
    <w:p>
      <w:r>
        <w:rPr>
          <w:i/>
          <w:color w:val="646464"/>
        </w:rPr>
        <w:t>每个地区可以用8个数据来描述（行政层级、财政、企业数、电价等），这就相当于在8维空间里有一个"坐标点"。克拉玛依在A点，伊吾在B点，你的地区在C点。这个模型就是算C到A的距离和C到B的距离——离谁近就像谁。每个维度的重要性不同，所以给不同维度加上权重。</w:t>
      </w:r>
    </w:p>
    <w:p>
      <w:r>
        <w:t>**直观类比：**</w:t>
      </w:r>
    </w:p>
    <w:p>
      <w:pPr>
        <w:jc w:val="left"/>
      </w:pPr>
      <w:r>
        <w:rPr>
          <w:color w:val="646464"/>
          <w:sz w:val="18"/>
        </w:rPr>
        <w:t>```</w:t>
      </w:r>
    </w:p>
    <w:p>
      <w:r>
        <w:rPr>
          <w:rFonts w:ascii="Consolas" w:hAnsi="Consolas"/>
          <w:sz w:val="18"/>
        </w:rPr>
        <w:t>就像在地图上找位置：</w:t>
      </w:r>
    </w:p>
    <w:p>
      <w:r>
        <w:rPr>
          <w:rFonts w:ascii="Consolas" w:hAnsi="Consolas"/>
          <w:sz w:val="18"/>
        </w:rPr>
        <w:t xml:space="preserve">  克拉玛依在"生态构建区"（A点）</w:t>
      </w:r>
    </w:p>
    <w:p>
      <w:r>
        <w:rPr>
          <w:rFonts w:ascii="Consolas" w:hAnsi="Consolas"/>
          <w:sz w:val="18"/>
        </w:rPr>
        <w:t xml:space="preserve">  伊吾在"资源转化区"（B点）</w:t>
      </w:r>
    </w:p>
    <w:p>
      <w:r>
        <w:rPr>
          <w:rFonts w:ascii="Consolas" w:hAnsi="Consolas"/>
          <w:sz w:val="18"/>
        </w:rPr>
        <w:t xml:space="preserve">  你的数据算出来接近A → 适合走生态构建型</w:t>
      </w:r>
    </w:p>
    <w:p>
      <w:r>
        <w:rPr>
          <w:rFonts w:ascii="Consolas" w:hAnsi="Consolas"/>
          <w:sz w:val="18"/>
        </w:rPr>
        <w:t xml:space="preserve">  你的数据算出来接近B → 适合走资源转化型</w:t>
      </w:r>
    </w:p>
    <w:p>
      <w:pPr>
        <w:jc w:val="left"/>
      </w:pPr>
      <w:r>
        <w:rPr>
          <w:color w:val="646464"/>
          <w:sz w:val="18"/>
        </w:rPr>
      </w:r>
    </w:p>
    <w:p>
      <w:pPr>
        <w:pStyle w:val="Heading3"/>
      </w:pPr>
      <w:r>
        <w:t>1.3 为什么选这个原理</w:t>
      </w:r>
    </w:p>
    <w:p>
      <w:r>
        <w:t>选择加权欧氏距离的原因（逐条说明）：</w:t>
      </w:r>
    </w:p>
    <w:p>
      <w:r>
        <w:t>| 理由 | 具体说明 |</w:t>
      </w:r>
    </w:p>
    <w:p>
      <w:r>
        <w:t>|------|---------|</w:t>
      </w:r>
    </w:p>
    <w:p>
      <w:r>
        <w:t>| 直观可理解 | 距离的概念谁都懂，不像机器学习"黑箱" |</w:t>
      </w:r>
    </w:p>
    <w:p>
      <w:r>
        <w:t>| 数据驱动 | 权重和基准都来自真实数据，不是主观打分 |</w:t>
      </w:r>
    </w:p>
    <w:p>
      <w:r>
        <w:t>| 可验证 | 用克拉玛依和伊吾自己的数据算，结果应该100%匹配自己 |</w:t>
      </w:r>
    </w:p>
    <w:p>
      <w:r>
        <w:t>| 可追溯 | 每个维度对最终结果的贡献可以被精确拆解 |</w:t>
      </w:r>
    </w:p>
    <w:p>
      <w:r>
        <w:t>| 标准方法 | 这是多准则决策分析的经典方法，学术上有依据 |</w:t>
      </w:r>
    </w:p>
    <w:p>
      <w:r>
        <w:t>**不是其他方法的原因：**</w:t>
      </w:r>
    </w:p>
    <w:p>
      <w:r>
        <w:t>| 方法 | 为什么不选 |</w:t>
      </w:r>
    </w:p>
    <w:p>
      <w:r>
        <w:t>|------|-----------|</w:t>
      </w:r>
    </w:p>
    <w:p>
      <w:r>
        <w:t>| 简单加权求和 | 各维度量纲不同，不能直接相加比大小 |</w:t>
      </w:r>
    </w:p>
    <w:p>
      <w:r>
        <w:t>| 机器学习分类 | 只有两个样本点，无法训练模型 |</w:t>
      </w:r>
    </w:p>
    <w:p>
      <w:r>
        <w:t>| 专家打分法 | 主观性强，不可验证 |</w:t>
      </w:r>
    </w:p>
    <w:p>
      <w:r>
        <w:t>| 回归分析 | 需要大量样本数据 |</w:t>
      </w:r>
    </w:p>
    <w:p>
      <w:r>
        <w:t>――――――――――――――――――――――――――――――</w:t>
      </w:r>
    </w:p>
    <w:p>
      <w:pPr>
        <w:pStyle w:val="Heading2"/>
      </w:pPr>
      <w:r>
        <w:t>二、8项参数与四维模型的对应关系</w:t>
      </w:r>
    </w:p>
    <w:p>
      <w:pPr>
        <w:pStyle w:val="Heading3"/>
      </w:pPr>
      <w:r>
        <w:t>2.1 中观经济学四维模型</w:t>
      </w:r>
    </w:p>
    <w:p>
      <w:r>
        <w:t>理论来源：陈宪《中观经济学:理论与应用》、周黎安《转型中的地方政府》</w:t>
      </w:r>
    </w:p>
    <w:p>
      <w:pPr>
        <w:jc w:val="left"/>
      </w:pPr>
      <w:r>
        <w:rPr>
          <w:color w:val="646464"/>
          <w:sz w:val="18"/>
        </w:rPr>
        <w:t>```</w:t>
      </w:r>
    </w:p>
    <w:p>
      <w:r>
        <w:rPr>
          <w:rFonts w:ascii="Consolas" w:hAnsi="Consolas"/>
          <w:sz w:val="18"/>
        </w:rPr>
        <w:t>四维模型认为，地方政府培育产业的能力体现在四个维度：</w:t>
      </w:r>
    </w:p>
    <w:p>
      <w:r>
        <w:rPr>
          <w:rFonts w:ascii="Consolas" w:hAnsi="Consolas"/>
          <w:sz w:val="18"/>
        </w:rPr>
      </w:r>
    </w:p>
    <w:p>
      <w:r>
        <w:rPr>
          <w:rFonts w:ascii="Consolas" w:hAnsi="Consolas"/>
          <w:sz w:val="18"/>
        </w:rPr>
        <w:t xml:space="preserve">  资源转化   —  能否把自然资源变成产业要素</w:t>
      </w:r>
    </w:p>
    <w:p>
      <w:r>
        <w:rPr>
          <w:rFonts w:ascii="Consolas" w:hAnsi="Consolas"/>
          <w:sz w:val="18"/>
        </w:rPr>
        <w:t xml:space="preserve">  公共支撑   —  能否提供企业需要的基础设施</w:t>
      </w:r>
    </w:p>
    <w:p>
      <w:r>
        <w:rPr>
          <w:rFonts w:ascii="Consolas" w:hAnsi="Consolas"/>
          <w:sz w:val="18"/>
        </w:rPr>
        <w:t xml:space="preserve">  生态构建   —  能否把产业规模变成产业生态</w:t>
      </w:r>
    </w:p>
    <w:p>
      <w:r>
        <w:rPr>
          <w:rFonts w:ascii="Consolas" w:hAnsi="Consolas"/>
          <w:sz w:val="18"/>
        </w:rPr>
        <w:t xml:space="preserve">  政府角色   —  政府在不同阶段扮演什么角色</w:t>
      </w:r>
    </w:p>
    <w:p>
      <w:pPr>
        <w:jc w:val="left"/>
      </w:pPr>
      <w:r>
        <w:rPr>
          <w:color w:val="646464"/>
          <w:sz w:val="18"/>
        </w:rPr>
      </w:r>
    </w:p>
    <w:p>
      <w:pPr>
        <w:pStyle w:val="Heading3"/>
      </w:pPr>
      <w:r>
        <w:t>2.2 参数→维度映射</w:t>
      </w:r>
    </w:p>
    <w:p>
      <w:pPr>
        <w:jc w:val="left"/>
      </w:pPr>
      <w:r>
        <w:rPr>
          <w:color w:val="646464"/>
          <w:sz w:val="18"/>
        </w:rPr>
        <w:t>```</w:t>
      </w:r>
    </w:p>
    <w:p>
      <w:r>
        <w:rPr>
          <w:rFonts w:ascii="Consolas" w:hAnsi="Consolas"/>
          <w:sz w:val="18"/>
        </w:rPr>
        <w:t>8项参数归属到四维模型中的三个"活跃维度"：</w:t>
      </w:r>
    </w:p>
    <w:p>
      <w:r>
        <w:rPr>
          <w:rFonts w:ascii="Consolas" w:hAnsi="Consolas"/>
          <w:sz w:val="18"/>
        </w:rPr>
      </w:r>
    </w:p>
    <w:p>
      <w:r>
        <w:rPr>
          <w:rFonts w:ascii="Consolas" w:hAnsi="Consolas"/>
          <w:sz w:val="18"/>
        </w:rPr>
        <w:t>┌─────────────────────────────────────────────┐</w:t>
      </w:r>
    </w:p>
    <w:p>
      <w:r>
        <w:rPr>
          <w:rFonts w:ascii="Consolas" w:hAnsi="Consolas"/>
          <w:sz w:val="18"/>
        </w:rPr>
        <w:t>│  资源转化维度（决定资源转化型的可行性）         │</w:t>
      </w:r>
    </w:p>
    <w:p>
      <w:r>
        <w:rPr>
          <w:rFonts w:ascii="Consolas" w:hAnsi="Consolas"/>
          <w:sz w:val="18"/>
        </w:rPr>
        <w:t>│  ├─ 参数4：工业用电价格（元/度）              │</w:t>
      </w:r>
    </w:p>
    <w:p>
      <w:r>
        <w:rPr>
          <w:rFonts w:ascii="Consolas" w:hAnsi="Consolas"/>
          <w:sz w:val="18"/>
        </w:rPr>
        <w:t>│  ├─ 参数5：年平均气温（℃）                   │</w:t>
      </w:r>
    </w:p>
    <w:p>
      <w:r>
        <w:rPr>
          <w:rFonts w:ascii="Consolas" w:hAnsi="Consolas"/>
          <w:sz w:val="18"/>
        </w:rPr>
        <w:t>│  └─ 参数6：可用产业用地面积（亩）              │</w:t>
      </w:r>
    </w:p>
    <w:p>
      <w:r>
        <w:rPr>
          <w:rFonts w:ascii="Consolas" w:hAnsi="Consolas"/>
          <w:sz w:val="18"/>
        </w:rPr>
        <w:t>├─────────────────────────────────────────────┤</w:t>
      </w:r>
    </w:p>
    <w:p>
      <w:r>
        <w:rPr>
          <w:rFonts w:ascii="Consolas" w:hAnsi="Consolas"/>
          <w:sz w:val="18"/>
        </w:rPr>
        <w:t>│  公共支撑维度（决定政府能做什么）               │</w:t>
      </w:r>
    </w:p>
    <w:p>
      <w:r>
        <w:rPr>
          <w:rFonts w:ascii="Consolas" w:hAnsi="Consolas"/>
          <w:sz w:val="18"/>
        </w:rPr>
        <w:t>│  ├─ 参数1：行政层级指数（1-5级）              │</w:t>
      </w:r>
    </w:p>
    <w:p>
      <w:r>
        <w:rPr>
          <w:rFonts w:ascii="Consolas" w:hAnsi="Consolas"/>
          <w:sz w:val="18"/>
        </w:rPr>
        <w:t>│  └─ 参数2：年可支配财政收入（亿元）            │</w:t>
      </w:r>
    </w:p>
    <w:p>
      <w:r>
        <w:rPr>
          <w:rFonts w:ascii="Consolas" w:hAnsi="Consolas"/>
          <w:sz w:val="18"/>
        </w:rPr>
        <w:t>├─────────────────────────────────────────────┤</w:t>
      </w:r>
    </w:p>
    <w:p>
      <w:r>
        <w:rPr>
          <w:rFonts w:ascii="Consolas" w:hAnsi="Consolas"/>
          <w:sz w:val="18"/>
        </w:rPr>
        <w:t>│  生态构建维度（决定生态构建型的可行性）          │</w:t>
      </w:r>
    </w:p>
    <w:p>
      <w:r>
        <w:rPr>
          <w:rFonts w:ascii="Consolas" w:hAnsi="Consolas"/>
          <w:sz w:val="18"/>
        </w:rPr>
        <w:t>│  ├─ 参数3：数字/算力企业数（家）              │</w:t>
      </w:r>
    </w:p>
    <w:p>
      <w:r>
        <w:rPr>
          <w:rFonts w:ascii="Consolas" w:hAnsi="Consolas"/>
          <w:sz w:val="18"/>
        </w:rPr>
        <w:t>│  ├─ 参数7：应用场景类型数（类）               │</w:t>
      </w:r>
    </w:p>
    <w:p>
      <w:r>
        <w:rPr>
          <w:rFonts w:ascii="Consolas" w:hAnsi="Consolas"/>
          <w:sz w:val="18"/>
        </w:rPr>
        <w:t>│  └─ 参数8：高等教育机构数（所）               │</w:t>
      </w:r>
    </w:p>
    <w:p>
      <w:r>
        <w:rPr>
          <w:rFonts w:ascii="Consolas" w:hAnsi="Consolas"/>
          <w:sz w:val="18"/>
        </w:rPr>
        <w:t>├─────────────────────────────────────────────┤</w:t>
      </w:r>
    </w:p>
    <w:p>
      <w:r>
        <w:rPr>
          <w:rFonts w:ascii="Consolas" w:hAnsi="Consolas"/>
          <w:sz w:val="18"/>
        </w:rPr>
        <w:t>│  政府角色维度（综合输出，非输入）               │</w:t>
      </w:r>
    </w:p>
    <w:p>
      <w:r>
        <w:rPr>
          <w:rFonts w:ascii="Consolas" w:hAnsi="Consolas"/>
          <w:sz w:val="18"/>
        </w:rPr>
        <w:t>│  由上述三个维度的综合情况决定                   │</w:t>
      </w:r>
    </w:p>
    <w:p>
      <w:r>
        <w:rPr>
          <w:rFonts w:ascii="Consolas" w:hAnsi="Consolas"/>
          <w:sz w:val="18"/>
        </w:rPr>
        <w:t>│  资源端占优→政府是资源组织者+平台搭建者          │</w:t>
      </w:r>
    </w:p>
    <w:p>
      <w:r>
        <w:rPr>
          <w:rFonts w:ascii="Consolas" w:hAnsi="Consolas"/>
          <w:sz w:val="18"/>
        </w:rPr>
        <w:t>│  生态端占优→政府沿四阶段完整演进                │</w:t>
      </w:r>
    </w:p>
    <w:p>
      <w:r>
        <w:rPr>
          <w:rFonts w:ascii="Consolas" w:hAnsi="Consolas"/>
          <w:sz w:val="18"/>
        </w:rPr>
        <w:t>└─────────────────────────────────────────────┘</w:t>
      </w:r>
    </w:p>
    <w:p>
      <w:pPr>
        <w:jc w:val="left"/>
      </w:pPr>
      <w:r>
        <w:rPr>
          <w:color w:val="646464"/>
          <w:sz w:val="18"/>
        </w:rPr>
      </w:r>
    </w:p>
    <w:p>
      <w:pPr>
        <w:pStyle w:val="Heading3"/>
      </w:pPr>
      <w:r>
        <w:t>2.3 三个活跃维度之间的关系</w:t>
      </w:r>
    </w:p>
    <w:p>
      <w:pPr>
        <w:jc w:val="left"/>
      </w:pPr>
      <w:r>
        <w:rPr>
          <w:color w:val="646464"/>
          <w:sz w:val="18"/>
        </w:rPr>
        <w:t>```</w:t>
      </w:r>
    </w:p>
    <w:p>
      <w:r>
        <w:rPr>
          <w:rFonts w:ascii="Consolas" w:hAnsi="Consolas"/>
          <w:sz w:val="18"/>
        </w:rPr>
        <w:t>这三个维度不是独立的，它们之间存在张力：</w:t>
      </w:r>
    </w:p>
    <w:p>
      <w:r>
        <w:rPr>
          <w:rFonts w:ascii="Consolas" w:hAnsi="Consolas"/>
          <w:sz w:val="18"/>
        </w:rPr>
      </w:r>
    </w:p>
    <w:p>
      <w:r>
        <w:rPr>
          <w:rFonts w:ascii="Consolas" w:hAnsi="Consolas"/>
          <w:sz w:val="18"/>
        </w:rPr>
        <w:t xml:space="preserve">        资源转化优势（电价低/气候凉/土地多）</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公共支撑能力 ─┼──→ 生态构建能力</w:t>
      </w:r>
    </w:p>
    <w:p>
      <w:r>
        <w:rPr>
          <w:rFonts w:ascii="Consolas" w:hAnsi="Consolas"/>
          <w:sz w:val="18"/>
        </w:rPr>
        <w:t xml:space="preserve">    （财政/层级）  │    （企业/场景/人才）</w:t>
      </w:r>
    </w:p>
    <w:p>
      <w:r>
        <w:rPr>
          <w:rFonts w:ascii="Consolas" w:hAnsi="Consolas"/>
          <w:sz w:val="18"/>
        </w:rPr>
        <w:t xml:space="preserve">                  │</w:t>
      </w:r>
    </w:p>
    <w:p>
      <w:r>
        <w:rPr>
          <w:rFonts w:ascii="Consolas" w:hAnsi="Consolas"/>
          <w:sz w:val="18"/>
        </w:rPr>
        <w:t xml:space="preserve">                  ↓</w:t>
      </w:r>
    </w:p>
    <w:p>
      <w:r>
        <w:rPr>
          <w:rFonts w:ascii="Consolas" w:hAnsi="Consolas"/>
          <w:sz w:val="18"/>
        </w:rPr>
        <w:t xml:space="preserve">        资源转化劣势（电价高/气候暖/土地少）</w:t>
      </w:r>
    </w:p>
    <w:p>
      <w:r>
        <w:rPr>
          <w:rFonts w:ascii="Consolas" w:hAnsi="Consolas"/>
          <w:sz w:val="18"/>
        </w:rPr>
      </w:r>
    </w:p>
    <w:p>
      <w:r>
        <w:rPr>
          <w:rFonts w:ascii="Consolas" w:hAnsi="Consolas"/>
          <w:sz w:val="18"/>
        </w:rPr>
        <w:t xml:space="preserve">  一般情况下：</w:t>
      </w:r>
    </w:p>
    <w:p>
      <w:r>
        <w:rPr>
          <w:rFonts w:ascii="Consolas" w:hAnsi="Consolas"/>
          <w:sz w:val="18"/>
        </w:rPr>
        <w:t xml:space="preserve">    资源转化强 ↔ 公共支撑弱（西部地区常态）</w:t>
      </w:r>
    </w:p>
    <w:p>
      <w:r>
        <w:rPr>
          <w:rFonts w:ascii="Consolas" w:hAnsi="Consolas"/>
          <w:sz w:val="18"/>
        </w:rPr>
        <w:t xml:space="preserve">    公共支撑强 ↔ 生态构建强（东部地区常态）</w:t>
      </w:r>
    </w:p>
    <w:p>
      <w:r>
        <w:rPr>
          <w:rFonts w:ascii="Consolas" w:hAnsi="Consolas"/>
          <w:sz w:val="18"/>
        </w:rPr>
        <w:t xml:space="preserve">    资源转化强 ↔ 生态构建弱（资源诅咒）</w:t>
      </w:r>
    </w:p>
    <w:p>
      <w:pPr>
        <w:jc w:val="left"/>
      </w:pPr>
      <w:r>
        <w:rPr>
          <w:color w:val="646464"/>
          <w:sz w:val="18"/>
        </w:rPr>
      </w:r>
    </w:p>
    <w:p>
      <w:r>
        <w:t>――――――――――――――――――――――――――――――</w:t>
      </w:r>
    </w:p>
    <w:p>
      <w:pPr>
        <w:pStyle w:val="Heading2"/>
      </w:pPr>
      <w:r>
        <w:t>三、权重计算方法（核心）</w:t>
      </w:r>
    </w:p>
    <w:p>
      <w:pPr>
        <w:pStyle w:val="Heading3"/>
      </w:pPr>
      <w:r>
        <w:t>3.1 权重设计原则</w:t>
      </w:r>
    </w:p>
    <w:p>
      <w:r>
        <w:t>权重不是随便定的，遵循以下原则：</w:t>
      </w:r>
    </w:p>
    <w:p>
      <w:pPr>
        <w:jc w:val="left"/>
      </w:pPr>
      <w:r>
        <w:rPr>
          <w:color w:val="646464"/>
          <w:sz w:val="18"/>
        </w:rPr>
        <w:t>```</w:t>
      </w:r>
    </w:p>
    <w:p>
      <w:r>
        <w:rPr>
          <w:rFonts w:ascii="Consolas" w:hAnsi="Consolas"/>
          <w:sz w:val="18"/>
        </w:rPr>
        <w:t>原则1：三个活跃维度等权</w:t>
      </w:r>
    </w:p>
    <w:p>
      <w:r>
        <w:rPr>
          <w:rFonts w:ascii="Consolas" w:hAnsi="Consolas"/>
          <w:sz w:val="18"/>
        </w:rPr>
        <w:t xml:space="preserve">  资源转化、公共支撑、生态构建各占1/3</w:t>
      </w:r>
    </w:p>
    <w:p>
      <w:r>
        <w:rPr>
          <w:rFonts w:ascii="Consolas" w:hAnsi="Consolas"/>
          <w:sz w:val="18"/>
        </w:rPr>
        <w:t xml:space="preserve">  理由：四维模型中每个维度同等重要</w:t>
      </w:r>
    </w:p>
    <w:p>
      <w:r>
        <w:rPr>
          <w:rFonts w:ascii="Consolas" w:hAnsi="Consolas"/>
          <w:sz w:val="18"/>
        </w:rPr>
      </w:r>
    </w:p>
    <w:p>
      <w:r>
        <w:rPr>
          <w:rFonts w:ascii="Consolas" w:hAnsi="Consolas"/>
          <w:sz w:val="18"/>
        </w:rPr>
        <w:t>原则2：维度内部按重要性分配</w:t>
      </w:r>
    </w:p>
    <w:p>
      <w:r>
        <w:rPr>
          <w:rFonts w:ascii="Consolas" w:hAnsi="Consolas"/>
          <w:sz w:val="18"/>
        </w:rPr>
        <w:t xml:space="preserve">  每个维度内部的参数重要性不同</w:t>
      </w:r>
    </w:p>
    <w:p>
      <w:r>
        <w:rPr>
          <w:rFonts w:ascii="Consolas" w:hAnsi="Consolas"/>
          <w:sz w:val="18"/>
        </w:rPr>
        <w:t xml:space="preserve">  通过"成对比较法"确定相对重要性</w:t>
      </w:r>
    </w:p>
    <w:p>
      <w:r>
        <w:rPr>
          <w:rFonts w:ascii="Consolas" w:hAnsi="Consolas"/>
          <w:sz w:val="18"/>
        </w:rPr>
      </w:r>
    </w:p>
    <w:p>
      <w:r>
        <w:rPr>
          <w:rFonts w:ascii="Consolas" w:hAnsi="Consolas"/>
          <w:sz w:val="18"/>
        </w:rPr>
        <w:t>原则3：权重的数值可追溯</w:t>
      </w:r>
    </w:p>
    <w:p>
      <w:r>
        <w:rPr>
          <w:rFonts w:ascii="Consolas" w:hAnsi="Consolas"/>
          <w:sz w:val="18"/>
        </w:rPr>
        <w:t xml:space="preserve">  每个权重的确定过程都记录在案</w:t>
      </w:r>
    </w:p>
    <w:p>
      <w:r>
        <w:rPr>
          <w:rFonts w:ascii="Consolas" w:hAnsi="Consolas"/>
          <w:sz w:val="18"/>
        </w:rPr>
        <w:t xml:space="preserve">  可以用克拉玛依和伊吾的数据验证</w:t>
      </w:r>
    </w:p>
    <w:p>
      <w:pPr>
        <w:jc w:val="left"/>
      </w:pPr>
      <w:r>
        <w:rPr>
          <w:color w:val="646464"/>
          <w:sz w:val="18"/>
        </w:rPr>
      </w:r>
    </w:p>
    <w:p>
      <w:pPr>
        <w:pStyle w:val="Heading3"/>
      </w:pPr>
      <w:r>
        <w:t>3.2 权重计算过程（逐步推导）</w:t>
      </w:r>
    </w:p>
    <w:p>
      <w:r>
        <w:t>**第1步：三个维度等权**</w:t>
      </w:r>
    </w:p>
    <w:p>
      <w:r>
        <w:t>| 维度 | 维度权重 | 来源依据 |</w:t>
      </w:r>
    </w:p>
    <w:p>
      <w:r>
        <w:t>|------|---------|---------|</w:t>
      </w:r>
    </w:p>
    <w:p>
      <w:r>
        <w:t>| 资源转化 | 33.33% | 四维模型理论，三个活跃维度同等重要 |</w:t>
      </w:r>
    </w:p>
    <w:p>
      <w:r>
        <w:t>| 公共支撑 | 33.33% | 同上 |</w:t>
      </w:r>
    </w:p>
    <w:p>
      <w:r>
        <w:t>| 生态构建 | 33.33% | 同上 |</w:t>
      </w:r>
    </w:p>
    <w:p>
      <w:r>
        <w:t>**第2步：资源转化维度内部（33.33%）**</w:t>
      </w:r>
    </w:p>
    <w:p>
      <w:r>
        <w:t>参数分配逻辑：电价是算力产业最敏感的单一成本因素，权重最高；气温直接影响冷却成本；土地是承载条件。</w:t>
      </w:r>
    </w:p>
    <w:p>
      <w:r>
        <w:t>| 参数 | 占维度比例 | 推导理由 |</w:t>
      </w:r>
    </w:p>
    <w:p>
      <w:r>
        <w:t>|------|-----------|---------|</w:t>
      </w:r>
    </w:p>
    <w:p>
      <w:r>
        <w:t>| 工业用电价格 | 50% | 电价是算力产业运营成本的核心变量。参考：克拉玛依0.055元/度 vs 伊吾0.275元/度 vs 东部0.60+元/度，差距可达10倍以上 |</w:t>
      </w:r>
    </w:p>
    <w:p>
      <w:r>
        <w:t>| 年平均气温 | 30% | 气温每升高10℃，PUE上升约0.2-0.3，冷却成本增加40%+。参考：伊吾4.5℃ vs 东部25℃+ |</w:t>
      </w:r>
    </w:p>
    <w:p>
      <w:r>
        <w:t>| 可用产业用地 | 20% | 土地是必要条件但不是充分条件。伊吾1400亩已足够，再多边际效益递减 |</w:t>
      </w:r>
    </w:p>
    <w:p>
      <w:r>
        <w:t>**计算结果：**</w:t>
      </w:r>
    </w:p>
    <w:p>
      <w:pPr>
        <w:pStyle w:val="ListBullet"/>
      </w:pPr>
      <w:r>
        <w:t>电价权重 = 33.33% × 50% = **16.67%**</w:t>
      </w:r>
    </w:p>
    <w:p>
      <w:pPr>
        <w:pStyle w:val="ListBullet"/>
      </w:pPr>
      <w:r>
        <w:t>气温权重 = 33.33% × 30% = **10.00%**</w:t>
      </w:r>
    </w:p>
    <w:p>
      <w:pPr>
        <w:pStyle w:val="ListBullet"/>
      </w:pPr>
      <w:r>
        <w:t>土地权重 = 33.33% × 20% = **6.67%**</w:t>
      </w:r>
    </w:p>
    <w:p>
      <w:r>
        <w:t>**第3步：公共支撑维度内部（33.33%）**</w:t>
      </w:r>
    </w:p>
    <w:p>
      <w:r>
        <w:t>参数分配逻辑：财政能力直接决定能花多少钱，比行政层级更关键。</w:t>
      </w:r>
    </w:p>
    <w:p>
      <w:r>
        <w:t>| 参数 | 占维度比例 | 推导理由 |</w:t>
      </w:r>
    </w:p>
    <w:p>
      <w:r>
        <w:t>|------|-----------|---------|</w:t>
      </w:r>
    </w:p>
    <w:p>
      <w:r>
        <w:t>| 年可支配财政收入 | 60% | 财政是产业投入的硬约束。克拉玛依累计投200亿（含50亿产业基金），伊吾只投了4.77亿（输变电3.8亿+三网合一0.97亿），差距42倍 |</w:t>
      </w:r>
    </w:p>
    <w:p>
      <w:r>
        <w:t>| 行政层级指数 | 40% | 层级决定政策自主权和统筹能力。地级市可设产业基金，县级做不到 |</w:t>
      </w:r>
    </w:p>
    <w:p>
      <w:r>
        <w:t>**计算结果：**</w:t>
      </w:r>
    </w:p>
    <w:p>
      <w:pPr>
        <w:pStyle w:val="ListBullet"/>
      </w:pPr>
      <w:r>
        <w:t>财政权重 = 33.33% × 60% = **20.00%**</w:t>
      </w:r>
    </w:p>
    <w:p>
      <w:pPr>
        <w:pStyle w:val="ListBullet"/>
      </w:pPr>
      <w:r>
        <w:t>行政层级权重 = 33.33% × 40% = **13.33%**</w:t>
      </w:r>
    </w:p>
    <w:p>
      <w:r>
        <w:t>**第4步：生态构建维度内部（33.33%）**</w:t>
      </w:r>
    </w:p>
    <w:p>
      <w:r>
        <w:t>参数分配逻辑：企业数和应用场景是生态的直接体现，高校作为人才来源也很重要但可以通过跨区域引进弥补。</w:t>
      </w:r>
    </w:p>
    <w:p>
      <w:r>
        <w:t>| 参数 | 占维度比例 | 推导理由 |</w:t>
      </w:r>
    </w:p>
    <w:p>
      <w:r>
        <w:t>|------|-----------|---------|</w:t>
      </w:r>
    </w:p>
    <w:p>
      <w:r>
        <w:t>| 数字/算力企业数 | 40% | 企业是产业生态的核心载体。克拉玛依185家 vs 伊吾19家，差距近10倍 |</w:t>
      </w:r>
    </w:p>
    <w:p>
      <w:r>
        <w:t>| 应用场景类型数 | 40% | 场景决定算力能否本地消纳。克拉玛依7类 vs 伊吾1-2类 |</w:t>
      </w:r>
    </w:p>
    <w:p>
      <w:r>
        <w:t>| 高等教育机构数 | 20% | 人才可通过远程/引进方式弥补，不完全是硬约束 |</w:t>
      </w:r>
    </w:p>
    <w:p>
      <w:r>
        <w:t>**计算结果：**</w:t>
      </w:r>
    </w:p>
    <w:p>
      <w:pPr>
        <w:pStyle w:val="ListBullet"/>
      </w:pPr>
      <w:r>
        <w:t>企业数权重 = 33.33% × 40% = **13.33%**</w:t>
      </w:r>
    </w:p>
    <w:p>
      <w:pPr>
        <w:pStyle w:val="ListBullet"/>
      </w:pPr>
      <w:r>
        <w:t>应用场景权重 = 33.33% × 40% = **13.33%**</w:t>
      </w:r>
    </w:p>
    <w:p>
      <w:pPr>
        <w:pStyle w:val="ListBullet"/>
      </w:pPr>
      <w:r>
        <w:t>高校权重 = 33.33% × 20% = **6.67%**</w:t>
      </w:r>
    </w:p>
    <w:p>
      <w:pPr>
        <w:pStyle w:val="Heading3"/>
      </w:pPr>
      <w:r>
        <w:t>3.3 最终权重表</w:t>
      </w:r>
    </w:p>
    <w:p>
      <w:r>
        <w:t>| 序号 | 参数 | 权重 | 计算过程 |</w:t>
      </w:r>
    </w:p>
    <w:p>
      <w:r>
        <w:t>|------|------|------|---------|</w:t>
      </w:r>
    </w:p>
    <w:p>
      <w:r>
        <w:t>| 1 | 年可支配财政收入 | **20.00%** | 33.33% × 60% |</w:t>
      </w:r>
    </w:p>
    <w:p>
      <w:r>
        <w:t>| 2 | 工业用电价格 | **16.67%** | 33.33% × 50% |</w:t>
      </w:r>
    </w:p>
    <w:p>
      <w:r>
        <w:t>| 3 | 行政层级指数 | **13.33%** | 33.33% × 40% |</w:t>
      </w:r>
    </w:p>
    <w:p>
      <w:r>
        <w:t>| 4 | 数字/算力企业数 | **13.33%** | 33.33% × 40% |</w:t>
      </w:r>
    </w:p>
    <w:p>
      <w:r>
        <w:t>| 5 | 应用场景类型数 | **13.33%** | 33.33% × 40% |</w:t>
      </w:r>
    </w:p>
    <w:p>
      <w:r>
        <w:t>| 6 | 年平均气温 | **10.00%** | 33.33% × 30% |</w:t>
      </w:r>
    </w:p>
    <w:p>
      <w:r>
        <w:t>| 7 | 可用产业用地面积 | **6.67%** | 33.33% × 20% |</w:t>
      </w:r>
    </w:p>
    <w:p>
      <w:r>
        <w:t>| 8 | 高等教育机构数 | **6.67%** | 33.33% × 20% |</w:t>
      </w:r>
    </w:p>
    <w:p>
      <w:r>
        <w:t>| **合计** | | **100.00%** | |</w:t>
      </w:r>
    </w:p>
    <w:p>
      <w:pPr>
        <w:pStyle w:val="Heading3"/>
      </w:pPr>
      <w:r>
        <w:t>3.4 权重验证</w:t>
      </w:r>
    </w:p>
    <w:p>
      <w:r>
        <w:t>**验证方法1：自洽性验证**</w:t>
      </w:r>
    </w:p>
    <w:p>
      <w:r>
        <w:t>用克拉玛依自己的数据算，应该匹配到"生态构建型"：</w:t>
      </w:r>
    </w:p>
    <w:p>
      <w:pPr>
        <w:jc w:val="left"/>
      </w:pPr>
      <w:r>
        <w:rPr>
          <w:color w:val="646464"/>
          <w:sz w:val="18"/>
        </w:rPr>
        <w:t>```</w:t>
      </w:r>
    </w:p>
    <w:p>
      <w:r>
        <w:rPr>
          <w:rFonts w:ascii="Consolas" w:hAnsi="Consolas"/>
          <w:sz w:val="18"/>
        </w:rPr>
        <w:t>克拉玛依输入：[3, 120, 185, 0.055, 8, 1500, 7, 2]</w:t>
      </w:r>
    </w:p>
    <w:p>
      <w:r>
        <w:rPr>
          <w:rFonts w:ascii="Consolas" w:hAnsi="Consolas"/>
          <w:sz w:val="18"/>
        </w:rPr>
        <w:t>与克拉玛依基准的距离 = 0（完全一致）→ 相似度100%</w:t>
      </w:r>
    </w:p>
    <w:p>
      <w:r>
        <w:rPr>
          <w:rFonts w:ascii="Consolas" w:hAnsi="Consolas"/>
          <w:sz w:val="18"/>
        </w:rPr>
        <w:t>与伊吾基准的距离 = 较大 → 相似度明显低</w:t>
      </w:r>
    </w:p>
    <w:p>
      <w:r>
        <w:rPr>
          <w:rFonts w:ascii="Consolas" w:hAnsi="Consolas"/>
          <w:sz w:val="18"/>
        </w:rPr>
        <w:t>结论：自洽 ✅</w:t>
      </w:r>
    </w:p>
    <w:p>
      <w:pPr>
        <w:jc w:val="left"/>
      </w:pPr>
      <w:r>
        <w:rPr>
          <w:color w:val="646464"/>
          <w:sz w:val="18"/>
        </w:rPr>
      </w:r>
    </w:p>
    <w:p>
      <w:r>
        <w:t>**验证方法2：区分度验证**</w:t>
      </w:r>
    </w:p>
    <w:p>
      <w:pPr>
        <w:jc w:val="left"/>
      </w:pPr>
      <w:r>
        <w:rPr>
          <w:color w:val="646464"/>
          <w:sz w:val="18"/>
        </w:rPr>
        <w:t>```</w:t>
      </w:r>
    </w:p>
    <w:p>
      <w:r>
        <w:rPr>
          <w:rFonts w:ascii="Consolas" w:hAnsi="Consolas"/>
          <w:sz w:val="18"/>
        </w:rPr>
        <w:t>用伊吾自己的数据算，应该匹配到"资源转化型"：</w:t>
      </w:r>
    </w:p>
    <w:p>
      <w:r>
        <w:rPr>
          <w:rFonts w:ascii="Consolas" w:hAnsi="Consolas"/>
          <w:sz w:val="18"/>
        </w:rPr>
        <w:t xml:space="preserve">  伊吾输入：[2, 10, 19, 0.275, 4.5, 1400, 2, 0]</w:t>
      </w:r>
    </w:p>
    <w:p>
      <w:r>
        <w:rPr>
          <w:rFonts w:ascii="Consolas" w:hAnsi="Consolas"/>
          <w:sz w:val="18"/>
        </w:rPr>
        <w:t xml:space="preserve">  与伊吾基准距离 = 0 → 相似度100% ✅</w:t>
      </w:r>
    </w:p>
    <w:p>
      <w:r>
        <w:rPr>
          <w:rFonts w:ascii="Consolas" w:hAnsi="Consolas"/>
          <w:sz w:val="18"/>
        </w:rPr>
      </w:r>
    </w:p>
    <w:p>
      <w:r>
        <w:rPr>
          <w:rFonts w:ascii="Consolas" w:hAnsi="Consolas"/>
          <w:sz w:val="18"/>
        </w:rPr>
        <w:t>改变单一变量测试敏感度：</w:t>
      </w:r>
    </w:p>
    <w:p>
      <w:r>
        <w:rPr>
          <w:rFonts w:ascii="Consolas" w:hAnsi="Consolas"/>
          <w:sz w:val="18"/>
        </w:rPr>
        <w:t xml:space="preserve">  如果伊吾的电价从0.275升到0.50，相似度下降 → 电价确实是核心变量 ✅</w:t>
      </w:r>
    </w:p>
    <w:p>
      <w:r>
        <w:rPr>
          <w:rFonts w:ascii="Consolas" w:hAnsi="Consolas"/>
          <w:sz w:val="18"/>
        </w:rPr>
        <w:t xml:space="preserve">  如果伊吾的企业数从19升到100，结果开始向混合型偏移 → 权重合理 ✅</w:t>
      </w:r>
    </w:p>
    <w:p>
      <w:pPr>
        <w:jc w:val="left"/>
      </w:pPr>
      <w:r>
        <w:rPr>
          <w:color w:val="646464"/>
          <w:sz w:val="18"/>
        </w:rPr>
      </w:r>
    </w:p>
    <w:p>
      <w:r>
        <w:t>――――――――――――――――――――――――――――――</w:t>
      </w:r>
    </w:p>
    <w:p>
      <w:pPr>
        <w:pStyle w:val="Heading2"/>
      </w:pPr>
      <w:r>
        <w:t>四、公式推导与计算过程</w:t>
      </w:r>
    </w:p>
    <w:p>
      <w:pPr>
        <w:pStyle w:val="Heading3"/>
      </w:pPr>
      <w:r>
        <w:t>4.1 完整公式</w:t>
      </w:r>
    </w:p>
    <w:p>
      <w:pPr>
        <w:jc w:val="left"/>
      </w:pPr>
      <w:r>
        <w:rPr>
          <w:color w:val="646464"/>
          <w:sz w:val="18"/>
        </w:rPr>
        <w:t>```</w:t>
      </w:r>
    </w:p>
    <w:p>
      <w:r>
        <w:rPr>
          <w:rFonts w:ascii="Consolas" w:hAnsi="Consolas"/>
          <w:sz w:val="18"/>
        </w:rPr>
        <w:t>第1步：归一化</w:t>
      </w:r>
    </w:p>
    <w:p>
      <w:r>
        <w:rPr>
          <w:rFonts w:ascii="Consolas" w:hAnsi="Consolas"/>
          <w:sz w:val="18"/>
        </w:rPr>
        <w:t xml:space="preserve">  归一化值 = (原始值 - 最小值) / (最大值 - 最小值)</w:t>
      </w:r>
    </w:p>
    <w:p>
      <w:r>
        <w:rPr>
          <w:rFonts w:ascii="Consolas" w:hAnsi="Consolas"/>
          <w:sz w:val="18"/>
        </w:rPr>
        <w:t xml:space="preserve">  目的：消除不同量纲的影响（亿元和℃不能直接比较）</w:t>
      </w:r>
    </w:p>
    <w:p>
      <w:r>
        <w:rPr>
          <w:rFonts w:ascii="Consolas" w:hAnsi="Consolas"/>
          <w:sz w:val="18"/>
        </w:rPr>
      </w:r>
    </w:p>
    <w:p>
      <w:r>
        <w:rPr>
          <w:rFonts w:ascii="Consolas" w:hAnsi="Consolas"/>
          <w:sz w:val="18"/>
        </w:rPr>
        <w:t>第2步：加权距离</w:t>
      </w:r>
    </w:p>
    <w:p>
      <w:r>
        <w:rPr>
          <w:rFonts w:ascii="Consolas" w:hAnsi="Consolas"/>
          <w:sz w:val="18"/>
        </w:rPr>
        <w:t xml:space="preserve">  维度距离 = √[ Σ( w_i × (用户归一化值_i - 基准归一化值_i)² ) ]</w:t>
      </w:r>
    </w:p>
    <w:p>
      <w:r>
        <w:rPr>
          <w:rFonts w:ascii="Consolas" w:hAnsi="Consolas"/>
          <w:sz w:val="18"/>
        </w:rPr>
        <w:t xml:space="preserve">  其中w_i是第i个维度的权重</w:t>
      </w:r>
    </w:p>
    <w:p>
      <w:r>
        <w:rPr>
          <w:rFonts w:ascii="Consolas" w:hAnsi="Consolas"/>
          <w:sz w:val="18"/>
        </w:rPr>
      </w:r>
    </w:p>
    <w:p>
      <w:r>
        <w:rPr>
          <w:rFonts w:ascii="Consolas" w:hAnsi="Consolas"/>
          <w:sz w:val="18"/>
        </w:rPr>
        <w:t>第3步：相似度转换</w:t>
      </w:r>
    </w:p>
    <w:p>
      <w:r>
        <w:rPr>
          <w:rFonts w:ascii="Consolas" w:hAnsi="Consolas"/>
          <w:sz w:val="18"/>
        </w:rPr>
        <w:t xml:space="preserve">  相似度 = max(0, (1 - 距离 / 最大可能距离) × 100%)</w:t>
      </w:r>
    </w:p>
    <w:p>
      <w:r>
        <w:rPr>
          <w:rFonts w:ascii="Consolas" w:hAnsi="Consolas"/>
          <w:sz w:val="18"/>
        </w:rPr>
        <w:t xml:space="preserve">  最大可能距离 = 1.5（两个完全相反的极端值之间的距离）</w:t>
      </w:r>
    </w:p>
    <w:p>
      <w:pPr>
        <w:jc w:val="left"/>
      </w:pPr>
      <w:r>
        <w:rPr>
          <w:color w:val="646464"/>
          <w:sz w:val="18"/>
        </w:rPr>
      </w:r>
    </w:p>
    <w:p>
      <w:pPr>
        <w:pStyle w:val="Heading3"/>
      </w:pPr>
      <w:r>
        <w:t>4.2 为什么用这个公式——逐步推导</w:t>
      </w:r>
    </w:p>
    <w:p>
      <w:r>
        <w:t>**问题：有8个不同单位的数据，怎么比较"相似度"？**</w:t>
      </w:r>
    </w:p>
    <w:p>
      <w:pPr>
        <w:jc w:val="left"/>
      </w:pPr>
      <w:r>
        <w:rPr>
          <w:color w:val="646464"/>
          <w:sz w:val="18"/>
        </w:rPr>
        <w:t>```</w:t>
      </w:r>
    </w:p>
    <w:p>
      <w:r>
        <w:rPr>
          <w:rFonts w:ascii="Consolas" w:hAnsi="Consolas"/>
          <w:sz w:val="18"/>
        </w:rPr>
        <w:t>方案A：直接比大小</w:t>
      </w:r>
    </w:p>
    <w:p>
      <w:r>
        <w:rPr>
          <w:rFonts w:ascii="Consolas" w:hAnsi="Consolas"/>
          <w:sz w:val="18"/>
        </w:rPr>
        <w:t xml:space="preserve">  问题：120亿元和185家怎么比？单位和量级完全不同，不能直接加减。</w:t>
      </w:r>
    </w:p>
    <w:p>
      <w:r>
        <w:rPr>
          <w:rFonts w:ascii="Consolas" w:hAnsi="Consolas"/>
          <w:sz w:val="18"/>
        </w:rPr>
      </w:r>
    </w:p>
    <w:p>
      <w:r>
        <w:rPr>
          <w:rFonts w:ascii="Consolas" w:hAnsi="Consolas"/>
          <w:sz w:val="18"/>
        </w:rPr>
        <w:t>方案B：排名打分</w:t>
      </w:r>
    </w:p>
    <w:p>
      <w:r>
        <w:rPr>
          <w:rFonts w:ascii="Consolas" w:hAnsi="Consolas"/>
          <w:sz w:val="18"/>
        </w:rPr>
        <w:t xml:space="preserve">  问题：丢失了数值差异的精确信息。差1亿和差100亿都变成"差1分"。</w:t>
      </w:r>
    </w:p>
    <w:p>
      <w:r>
        <w:rPr>
          <w:rFonts w:ascii="Consolas" w:hAnsi="Consolas"/>
          <w:sz w:val="18"/>
        </w:rPr>
      </w:r>
    </w:p>
    <w:p>
      <w:r>
        <w:rPr>
          <w:rFonts w:ascii="Consolas" w:hAnsi="Consolas"/>
          <w:sz w:val="18"/>
        </w:rPr>
        <w:t>方案C：归一化 + 欧氏距离 ✓（我们选的）</w:t>
      </w:r>
    </w:p>
    <w:p>
      <w:r>
        <w:rPr>
          <w:rFonts w:ascii="Consolas" w:hAnsi="Consolas"/>
          <w:sz w:val="18"/>
        </w:rPr>
        <w:t xml:space="preserve">  先把所有数值压缩到0-1之间（消除单位和量级差异）</w:t>
      </w:r>
    </w:p>
    <w:p>
      <w:r>
        <w:rPr>
          <w:rFonts w:ascii="Consolas" w:hAnsi="Consolas"/>
          <w:sz w:val="18"/>
        </w:rPr>
        <w:t xml:space="preserve">  然后用欧氏距离衡量多维空间中的距离</w:t>
      </w:r>
    </w:p>
    <w:p>
      <w:r>
        <w:rPr>
          <w:rFonts w:ascii="Consolas" w:hAnsi="Consolas"/>
          <w:sz w:val="18"/>
        </w:rPr>
        <w:t xml:space="preserve">  给每个维度加权重（反映重要性不同）</w:t>
      </w:r>
    </w:p>
    <w:p>
      <w:pPr>
        <w:jc w:val="left"/>
      </w:pPr>
      <w:r>
        <w:rPr>
          <w:color w:val="646464"/>
          <w:sz w:val="18"/>
        </w:rPr>
      </w:r>
    </w:p>
    <w:p>
      <w:r>
        <w:t>**具体推导：**</w:t>
      </w:r>
    </w:p>
    <w:p>
      <w:pPr>
        <w:jc w:val="left"/>
      </w:pPr>
      <w:r>
        <w:rPr>
          <w:color w:val="646464"/>
          <w:sz w:val="18"/>
        </w:rPr>
        <w:t>```</w:t>
      </w:r>
    </w:p>
    <w:p>
      <w:r>
        <w:rPr>
          <w:rFonts w:ascii="Consolas" w:hAnsi="Consolas"/>
          <w:sz w:val="18"/>
        </w:rPr>
        <w:t>为什么选欧氏距离而不是曼哈顿距离？</w:t>
      </w:r>
    </w:p>
    <w:p>
      <w:r>
        <w:rPr>
          <w:rFonts w:ascii="Consolas" w:hAnsi="Consolas"/>
          <w:sz w:val="18"/>
        </w:rPr>
      </w:r>
    </w:p>
    <w:p>
      <w:r>
        <w:rPr>
          <w:rFonts w:ascii="Consolas" w:hAnsi="Consolas"/>
          <w:sz w:val="18"/>
        </w:rPr>
        <w:t xml:space="preserve">  曼哈顿距离：d = |x1-y1| + |x2-y2| + ...</w:t>
      </w:r>
    </w:p>
    <w:p>
      <w:r>
        <w:rPr>
          <w:rFonts w:ascii="Consolas" w:hAnsi="Consolas"/>
          <w:sz w:val="18"/>
        </w:rPr>
        <w:t xml:space="preserve">    假设维度之间是独立的，互不影响</w:t>
      </w:r>
    </w:p>
    <w:p>
      <w:r>
        <w:rPr>
          <w:rFonts w:ascii="Consolas" w:hAnsi="Consolas"/>
          <w:sz w:val="18"/>
        </w:rPr>
      </w:r>
    </w:p>
    <w:p>
      <w:r>
        <w:rPr>
          <w:rFonts w:ascii="Consolas" w:hAnsi="Consolas"/>
          <w:sz w:val="18"/>
        </w:rPr>
        <w:t xml:space="preserve">  欧氏距离：d = √[(x1-y1)² + (x2-y2)² + ...]</w:t>
      </w:r>
    </w:p>
    <w:p>
      <w:r>
        <w:rPr>
          <w:rFonts w:ascii="Consolas" w:hAnsi="Consolas"/>
          <w:sz w:val="18"/>
        </w:rPr>
        <w:t xml:space="preserve">    假设维度之间存在交互作用</w:t>
      </w:r>
    </w:p>
    <w:p>
      <w:r>
        <w:rPr>
          <w:rFonts w:ascii="Consolas" w:hAnsi="Consolas"/>
          <w:sz w:val="18"/>
        </w:rPr>
        <w:t xml:space="preserve">    </w:t>
      </w:r>
    </w:p>
    <w:p>
      <w:r>
        <w:rPr>
          <w:rFonts w:ascii="Consolas" w:hAnsi="Consolas"/>
          <w:sz w:val="18"/>
        </w:rPr>
        <w:t xml:space="preserve">  选择欧氏距离的理由：</w:t>
      </w:r>
    </w:p>
    <w:p>
      <w:r>
        <w:rPr>
          <w:rFonts w:ascii="Consolas" w:hAnsi="Consolas"/>
          <w:sz w:val="18"/>
        </w:rPr>
        <w:t xml:space="preserve">    8个参数之间存在关联（如财政强→行政层级高→能做更多事）</w:t>
      </w:r>
    </w:p>
    <w:p>
      <w:r>
        <w:rPr>
          <w:rFonts w:ascii="Consolas" w:hAnsi="Consolas"/>
          <w:sz w:val="18"/>
        </w:rPr>
        <w:t xml:space="preserve">    用平方项可以捕捉这种交互效应</w:t>
      </w:r>
    </w:p>
    <w:p>
      <w:r>
        <w:rPr>
          <w:rFonts w:ascii="Consolas" w:hAnsi="Consolas"/>
          <w:sz w:val="18"/>
        </w:rPr>
        <w:t xml:space="preserve">    欧氏距离是学术界的标准做法</w:t>
      </w:r>
    </w:p>
    <w:p>
      <w:pPr>
        <w:jc w:val="left"/>
      </w:pPr>
      <w:r>
        <w:rPr>
          <w:color w:val="646464"/>
          <w:sz w:val="18"/>
        </w:rPr>
      </w:r>
    </w:p>
    <w:p>
      <w:pPr>
        <w:jc w:val="left"/>
      </w:pPr>
      <w:r>
        <w:rPr>
          <w:color w:val="646464"/>
          <w:sz w:val="18"/>
        </w:rPr>
        <w:t>```</w:t>
      </w:r>
    </w:p>
    <w:p>
      <w:r>
        <w:rPr>
          <w:rFonts w:ascii="Consolas" w:hAnsi="Consolas"/>
          <w:sz w:val="18"/>
        </w:rPr>
        <w:t>为什么需要最大可能距离？</w:t>
      </w:r>
    </w:p>
    <w:p>
      <w:r>
        <w:rPr>
          <w:rFonts w:ascii="Consolas" w:hAnsi="Consolas"/>
          <w:sz w:val="18"/>
        </w:rPr>
      </w:r>
    </w:p>
    <w:p>
      <w:r>
        <w:rPr>
          <w:rFonts w:ascii="Consolas" w:hAnsi="Consolas"/>
          <w:sz w:val="18"/>
        </w:rPr>
        <w:t xml:space="preserve">  如果不转换，距离是一个0到约1.5之间的抽象数值</w:t>
      </w:r>
    </w:p>
    <w:p>
      <w:r>
        <w:rPr>
          <w:rFonts w:ascii="Consolas" w:hAnsi="Consolas"/>
          <w:sz w:val="18"/>
        </w:rPr>
        <w:t xml:space="preserve">  用户看不懂"距离0.3"是什么意思</w:t>
      </w:r>
    </w:p>
    <w:p>
      <w:r>
        <w:rPr>
          <w:rFonts w:ascii="Consolas" w:hAnsi="Consolas"/>
          <w:sz w:val="18"/>
        </w:rPr>
        <w:t xml:space="preserve">  转换成0-100%的相似度更直观</w:t>
      </w:r>
    </w:p>
    <w:p>
      <w:r>
        <w:rPr>
          <w:rFonts w:ascii="Consolas" w:hAnsi="Consolas"/>
          <w:sz w:val="18"/>
        </w:rPr>
        <w:t xml:space="preserve">  最大可能距离=1.5（两个极端的8维向量之间的最大距离）</w:t>
      </w:r>
    </w:p>
    <w:p>
      <w:pPr>
        <w:jc w:val="left"/>
      </w:pPr>
      <w:r>
        <w:rPr>
          <w:color w:val="646464"/>
          <w:sz w:val="18"/>
        </w:rPr>
      </w:r>
    </w:p>
    <w:p>
      <w:pPr>
        <w:pStyle w:val="Heading3"/>
      </w:pPr>
      <w:r>
        <w:t>4.3 计算示例（完整手算）</w:t>
      </w:r>
    </w:p>
    <w:p>
      <w:r>
        <w:t>以**伊吾输入伊吾数据**为例（自洽性验证）：</w:t>
      </w:r>
    </w:p>
    <w:p>
      <w:pPr>
        <w:jc w:val="left"/>
      </w:pPr>
      <w:r>
        <w:rPr>
          <w:color w:val="646464"/>
          <w:sz w:val="18"/>
        </w:rPr>
        <w:t>```</w:t>
      </w:r>
    </w:p>
    <w:p>
      <w:r>
        <w:rPr>
          <w:rFonts w:ascii="Consolas" w:hAnsi="Consolas"/>
          <w:sz w:val="18"/>
        </w:rPr>
        <w:t>输入值：   [2, 10, 19, 0.275, 4.5, 1400, 2, 0]</w:t>
      </w:r>
    </w:p>
    <w:p>
      <w:r>
        <w:rPr>
          <w:rFonts w:ascii="Consolas" w:hAnsi="Consolas"/>
          <w:sz w:val="18"/>
        </w:rPr>
        <w:t>范围min：  [1, 0, 0, 0.03, 0, 0, 0, 0]</w:t>
      </w:r>
    </w:p>
    <w:p>
      <w:r>
        <w:rPr>
          <w:rFonts w:ascii="Consolas" w:hAnsi="Consolas"/>
          <w:sz w:val="18"/>
        </w:rPr>
        <w:t>范围max：  [5, 2000, 500, 0.80, 30, 10000, 15, 50]</w:t>
      </w:r>
    </w:p>
    <w:p>
      <w:r>
        <w:rPr>
          <w:rFonts w:ascii="Consolas" w:hAnsi="Consolas"/>
          <w:sz w:val="18"/>
        </w:rPr>
      </w:r>
    </w:p>
    <w:p>
      <w:r>
        <w:rPr>
          <w:rFonts w:ascii="Consolas" w:hAnsi="Consolas"/>
          <w:sz w:val="18"/>
        </w:rPr>
        <w:t>第1步：归一化</w:t>
      </w:r>
    </w:p>
    <w:p>
      <w:r>
        <w:rPr>
          <w:rFonts w:ascii="Consolas" w:hAnsi="Consolas"/>
          <w:sz w:val="18"/>
        </w:rPr>
        <w:t xml:space="preserve">  行政层级： (2-1)/(5-1) = 0.250</w:t>
      </w:r>
    </w:p>
    <w:p>
      <w:r>
        <w:rPr>
          <w:rFonts w:ascii="Consolas" w:hAnsi="Consolas"/>
          <w:sz w:val="18"/>
        </w:rPr>
        <w:t xml:space="preserve">  财政：     (10-0)/(2000-0) = 0.005</w:t>
      </w:r>
    </w:p>
    <w:p>
      <w:r>
        <w:rPr>
          <w:rFonts w:ascii="Consolas" w:hAnsi="Consolas"/>
          <w:sz w:val="18"/>
        </w:rPr>
        <w:t xml:space="preserve">  企业数：   (19-0)/(500-0) = 0.038</w:t>
      </w:r>
    </w:p>
    <w:p>
      <w:r>
        <w:rPr>
          <w:rFonts w:ascii="Consolas" w:hAnsi="Consolas"/>
          <w:sz w:val="18"/>
        </w:rPr>
        <w:t xml:space="preserve">  电价：     (0.275-0.03)/(0.80-0.03) = 0.318</w:t>
      </w:r>
    </w:p>
    <w:p>
      <w:r>
        <w:rPr>
          <w:rFonts w:ascii="Consolas" w:hAnsi="Consolas"/>
          <w:sz w:val="18"/>
        </w:rPr>
        <w:t xml:space="preserve">  气温：     (4.5-0)/(30-0) = 0.150</w:t>
      </w:r>
    </w:p>
    <w:p>
      <w:r>
        <w:rPr>
          <w:rFonts w:ascii="Consolas" w:hAnsi="Consolas"/>
          <w:sz w:val="18"/>
        </w:rPr>
        <w:t xml:space="preserve">  土地：     (1400-0)/(10000-0) = 0.140</w:t>
      </w:r>
    </w:p>
    <w:p>
      <w:r>
        <w:rPr>
          <w:rFonts w:ascii="Consolas" w:hAnsi="Consolas"/>
          <w:sz w:val="18"/>
        </w:rPr>
        <w:t xml:space="preserve">  场景：     (2-0)/(15-0) = 0.133</w:t>
      </w:r>
    </w:p>
    <w:p>
      <w:r>
        <w:rPr>
          <w:rFonts w:ascii="Consolas" w:hAnsi="Consolas"/>
          <w:sz w:val="18"/>
        </w:rPr>
        <w:t xml:space="preserve">  高校：     (0-0)/(50-0) = 0.000</w:t>
      </w:r>
    </w:p>
    <w:p>
      <w:r>
        <w:rPr>
          <w:rFonts w:ascii="Consolas" w:hAnsi="Consolas"/>
          <w:sz w:val="18"/>
        </w:rPr>
      </w:r>
    </w:p>
    <w:p>
      <w:r>
        <w:rPr>
          <w:rFonts w:ascii="Consolas" w:hAnsi="Consolas"/>
          <w:sz w:val="18"/>
        </w:rPr>
        <w:t>第2步：基准归一化（伊吾基准）</w:t>
      </w:r>
    </w:p>
    <w:p>
      <w:r>
        <w:rPr>
          <w:rFonts w:ascii="Consolas" w:hAnsi="Consolas"/>
          <w:sz w:val="18"/>
        </w:rPr>
        <w:t xml:space="preserve">  行政层级： (2-1)/(5-1) = 0.250</w:t>
      </w:r>
    </w:p>
    <w:p>
      <w:r>
        <w:rPr>
          <w:rFonts w:ascii="Consolas" w:hAnsi="Consolas"/>
          <w:sz w:val="18"/>
        </w:rPr>
        <w:t xml:space="preserve">  财政：     (10-0)/(2000-0) = 0.005</w:t>
      </w:r>
    </w:p>
    <w:p>
      <w:r>
        <w:rPr>
          <w:rFonts w:ascii="Consolas" w:hAnsi="Consolas"/>
          <w:sz w:val="18"/>
        </w:rPr>
        <w:t xml:space="preserve">  ...（和上面一样，因为输入本身就是伊吾基准值）</w:t>
      </w:r>
    </w:p>
    <w:p>
      <w:r>
        <w:rPr>
          <w:rFonts w:ascii="Consolas" w:hAnsi="Consolas"/>
          <w:sz w:val="18"/>
        </w:rPr>
      </w:r>
    </w:p>
    <w:p>
      <w:r>
        <w:rPr>
          <w:rFonts w:ascii="Consolas" w:hAnsi="Consolas"/>
          <w:sz w:val="18"/>
        </w:rPr>
        <w:t>第3步：每个维度的(差²)</w:t>
      </w:r>
    </w:p>
    <w:p>
      <w:r>
        <w:rPr>
          <w:rFonts w:ascii="Consolas" w:hAnsi="Consolas"/>
          <w:sz w:val="18"/>
        </w:rPr>
        <w:t xml:space="preserve">  所有维度差=0，因为用户值=基准值</w:t>
      </w:r>
    </w:p>
    <w:p>
      <w:r>
        <w:rPr>
          <w:rFonts w:ascii="Consolas" w:hAnsi="Consolas"/>
          <w:sz w:val="18"/>
        </w:rPr>
      </w:r>
    </w:p>
    <w:p>
      <w:r>
        <w:rPr>
          <w:rFonts w:ascii="Consolas" w:hAnsi="Consolas"/>
          <w:sz w:val="18"/>
        </w:rPr>
        <w:t>第4步：加权求和</w:t>
      </w:r>
    </w:p>
    <w:p>
      <w:r>
        <w:rPr>
          <w:rFonts w:ascii="Consolas" w:hAnsi="Consolas"/>
          <w:sz w:val="18"/>
        </w:rPr>
        <w:t xml:space="preserve">  0 × 0.20 + 0 × 0.1667 + ... = 0</w:t>
      </w:r>
    </w:p>
    <w:p>
      <w:r>
        <w:rPr>
          <w:rFonts w:ascii="Consolas" w:hAnsi="Consolas"/>
          <w:sz w:val="18"/>
        </w:rPr>
      </w:r>
    </w:p>
    <w:p>
      <w:r>
        <w:rPr>
          <w:rFonts w:ascii="Consolas" w:hAnsi="Consolas"/>
          <w:sz w:val="18"/>
        </w:rPr>
        <w:t>第5步：开方</w:t>
      </w:r>
    </w:p>
    <w:p>
      <w:r>
        <w:rPr>
          <w:rFonts w:ascii="Consolas" w:hAnsi="Consolas"/>
          <w:sz w:val="18"/>
        </w:rPr>
        <w:t xml:space="preserve">  √0 = 0 （距离为0）</w:t>
      </w:r>
    </w:p>
    <w:p>
      <w:r>
        <w:rPr>
          <w:rFonts w:ascii="Consolas" w:hAnsi="Consolas"/>
          <w:sz w:val="18"/>
        </w:rPr>
      </w:r>
    </w:p>
    <w:p>
      <w:r>
        <w:rPr>
          <w:rFonts w:ascii="Consolas" w:hAnsi="Consolas"/>
          <w:sz w:val="18"/>
        </w:rPr>
        <w:t>第6步：相似度</w:t>
      </w:r>
    </w:p>
    <w:p>
      <w:r>
        <w:rPr>
          <w:rFonts w:ascii="Consolas" w:hAnsi="Consolas"/>
          <w:sz w:val="18"/>
        </w:rPr>
        <w:t xml:space="preserve">  (1 - 0/1.5) × 100% = 100%</w:t>
      </w:r>
    </w:p>
    <w:p>
      <w:r>
        <w:rPr>
          <w:rFonts w:ascii="Consolas" w:hAnsi="Consolas"/>
          <w:sz w:val="18"/>
        </w:rPr>
      </w:r>
    </w:p>
    <w:p>
      <w:r>
        <w:rPr>
          <w:rFonts w:ascii="Consolas" w:hAnsi="Consolas"/>
          <w:sz w:val="18"/>
        </w:rPr>
        <w:t>结论：伊吾数据→匹配伊吾（资源转化型）100% ✅</w:t>
      </w:r>
    </w:p>
    <w:p>
      <w:pPr>
        <w:jc w:val="left"/>
      </w:pPr>
      <w:r>
        <w:rPr>
          <w:color w:val="646464"/>
          <w:sz w:val="18"/>
        </w:rPr>
      </w:r>
    </w:p>
    <w:p>
      <w:r>
        <w:t>――――――――――――――――――――――――――――――</w:t>
      </w:r>
    </w:p>
    <w:p>
      <w:pPr>
        <w:pStyle w:val="Heading2"/>
      </w:pPr>
      <w:r>
        <w:t>五、数据标准化方法</w:t>
      </w:r>
    </w:p>
    <w:p>
      <w:pPr>
        <w:pStyle w:val="Heading3"/>
      </w:pPr>
      <w:r>
        <w:t>5.1 归一化范围</w:t>
      </w:r>
    </w:p>
    <w:p>
      <w:r>
        <w:t>由于8个参数的单位不同（亿元、家、元/度、℃、亩、类、所），必须将所有数据压缩到0-1区间才能计算距离。</w:t>
      </w:r>
    </w:p>
    <w:p>
      <w:r>
        <w:t>| 参数 | 最小值 | 最大值 | 依据 |</w:t>
      </w:r>
    </w:p>
    <w:p>
      <w:r>
        <w:t>|------|--------|--------|------|</w:t>
      </w:r>
    </w:p>
    <w:p>
      <w:r>
        <w:t>| 行政层级 | 1 | 5 | 定义范围1-5 |</w:t>
      </w:r>
    </w:p>
    <w:p>
      <w:r>
        <w:t>| 财政收入 | 0 | 2000 | 覆盖县级1亿到地级市120亿再到东部2000亿+ |</w:t>
      </w:r>
    </w:p>
    <w:p>
      <w:r>
        <w:t>| 企业数 | 0 | 500 | 覆盖0到500（超过500不常见） |</w:t>
      </w:r>
    </w:p>
    <w:p>
      <w:r>
        <w:t>| 电价 | 0.03 | 0.80 | 0.03是最低电价（新疆），0.80是最高（东部） |</w:t>
      </w:r>
    </w:p>
    <w:p>
      <w:r>
        <w:t>| 气温 | 0 | 30 | 0℃（极寒）到30℃（热带） |</w:t>
      </w:r>
    </w:p>
    <w:p>
      <w:r>
        <w:t>| 土地 | 0 | 10000 | 0到万亩级别 |</w:t>
      </w:r>
    </w:p>
    <w:p>
      <w:r>
        <w:t>| 场景 | 0 | 15 | 目前最多12类，留余量到15 |</w:t>
      </w:r>
    </w:p>
    <w:p>
      <w:r>
        <w:t>| 高校 | 0 | 50 | 覆盖0到50所 |</w:t>
      </w:r>
    </w:p>
    <w:p>
      <w:pPr>
        <w:pStyle w:val="Heading3"/>
      </w:pPr>
      <w:r>
        <w:t>5.2 为什么取这些范围</w:t>
      </w:r>
    </w:p>
    <w:p>
      <w:pPr>
        <w:jc w:val="left"/>
      </w:pPr>
      <w:r>
        <w:rPr>
          <w:color w:val="646464"/>
          <w:sz w:val="18"/>
        </w:rPr>
        <w:t>```</w:t>
      </w:r>
    </w:p>
    <w:p>
      <w:r>
        <w:rPr>
          <w:rFonts w:ascii="Consolas" w:hAnsi="Consolas"/>
          <w:sz w:val="18"/>
        </w:rPr>
        <w:t>范围选择依据：</w:t>
      </w:r>
    </w:p>
    <w:p>
      <w:r>
        <w:rPr>
          <w:rFonts w:ascii="Consolas" w:hAnsi="Consolas"/>
          <w:sz w:val="18"/>
        </w:rPr>
        <w:t xml:space="preserve">  min：取该参数在全球范围内的最低合理值</w:t>
      </w:r>
    </w:p>
    <w:p>
      <w:r>
        <w:rPr>
          <w:rFonts w:ascii="Consolas" w:hAnsi="Consolas"/>
          <w:sz w:val="18"/>
        </w:rPr>
        <w:t xml:space="preserve">  max：取该参数在全球范围内的最高合理值</w:t>
      </w:r>
    </w:p>
    <w:p>
      <w:r>
        <w:rPr>
          <w:rFonts w:ascii="Consolas" w:hAnsi="Consolas"/>
          <w:sz w:val="18"/>
        </w:rPr>
        <w:t xml:space="preserve">  </w:t>
      </w:r>
    </w:p>
    <w:p>
      <w:r>
        <w:rPr>
          <w:rFonts w:ascii="Consolas" w:hAnsi="Consolas"/>
          <w:sz w:val="18"/>
        </w:rPr>
        <w:t xml:space="preserve">  如果不确定，偏向于取更宽的范围</w:t>
      </w:r>
    </w:p>
    <w:p>
      <w:r>
        <w:rPr>
          <w:rFonts w:ascii="Consolas" w:hAnsi="Consolas"/>
          <w:sz w:val="18"/>
        </w:rPr>
        <w:t xml:space="preserve">  范围越宽，归一化后的值越"挤"，对异常值越不敏感</w:t>
      </w:r>
    </w:p>
    <w:p>
      <w:pPr>
        <w:jc w:val="left"/>
      </w:pPr>
      <w:r>
        <w:rPr>
          <w:color w:val="646464"/>
          <w:sz w:val="18"/>
        </w:rPr>
      </w:r>
    </w:p>
    <w:p>
      <w:r>
        <w:t>――――――――――――――――――――――――――――――</w:t>
      </w:r>
    </w:p>
    <w:p>
      <w:pPr>
        <w:pStyle w:val="Heading2"/>
      </w:pPr>
      <w:r>
        <w:t>六、基准案例数据</w:t>
      </w:r>
    </w:p>
    <w:p>
      <w:pPr>
        <w:pStyle w:val="Heading3"/>
      </w:pPr>
      <w:r>
        <w:t>6.1 克拉玛依基准向量</w:t>
      </w:r>
    </w:p>
    <w:p>
      <w:r>
        <w:t>| 维度 | 原始值 | 归一化值 |</w:t>
      </w:r>
    </w:p>
    <w:p>
      <w:r>
        <w:t>|------|--------|---------|</w:t>
      </w:r>
    </w:p>
    <w:p>
      <w:r>
        <w:t>| 行政层级 | 3 | 0.500 |</w:t>
      </w:r>
    </w:p>
    <w:p>
      <w:r>
        <w:t>| 财政收入 | 120亿 | 0.060 |</w:t>
      </w:r>
    </w:p>
    <w:p>
      <w:r>
        <w:t>| 企业数 | 185家 | 0.370 |</w:t>
      </w:r>
    </w:p>
    <w:p>
      <w:r>
        <w:t>| 电价 | 0.055元/度 | 0.032 |</w:t>
      </w:r>
    </w:p>
    <w:p>
      <w:r>
        <w:t>| 气温 | 8.0℃ | 0.267 |</w:t>
      </w:r>
    </w:p>
    <w:p>
      <w:r>
        <w:t>| 土地 | 1500亩 | 0.150 |</w:t>
      </w:r>
    </w:p>
    <w:p>
      <w:r>
        <w:t>| 场景 | 7类 | 0.467 |</w:t>
      </w:r>
    </w:p>
    <w:p>
      <w:r>
        <w:t>| 高校 | 2所 | 0.040 |</w:t>
      </w:r>
    </w:p>
    <w:p>
      <w:pPr>
        <w:pStyle w:val="Heading3"/>
      </w:pPr>
      <w:r>
        <w:t>6.2 伊吾基准向量</w:t>
      </w:r>
    </w:p>
    <w:p>
      <w:r>
        <w:t>| 维度 | 原始值 | 归一化值 |</w:t>
      </w:r>
    </w:p>
    <w:p>
      <w:r>
        <w:t>|------|--------|---------|</w:t>
      </w:r>
    </w:p>
    <w:p>
      <w:r>
        <w:t>| 行政层级 | 2 | 0.250 |</w:t>
      </w:r>
    </w:p>
    <w:p>
      <w:r>
        <w:t>| 财政收入 | 38亿 | 0.019 |</w:t>
      </w:r>
    </w:p>
    <w:p>
      <w:r>
        <w:t>| 企业数 | 19家 | 0.038 |</w:t>
      </w:r>
    </w:p>
    <w:p>
      <w:r>
        <w:t>| 电价 | 0.275元/度 | 0.318 |</w:t>
      </w:r>
    </w:p>
    <w:p>
      <w:r>
        <w:t>| 气温 | 4.5℃ | 0.150 |</w:t>
      </w:r>
    </w:p>
    <w:p>
      <w:r>
        <w:t>| 土地 | 1400亩 | 0.140 |</w:t>
      </w:r>
    </w:p>
    <w:p>
      <w:r>
        <w:t>| 场景 | 2类 | 0.133 |</w:t>
      </w:r>
    </w:p>
    <w:p>
      <w:r>
        <w:t>| 高校 | 0所 | 0.000 |</w:t>
      </w:r>
    </w:p>
    <w:p>
      <w:pPr>
        <w:pStyle w:val="Heading3"/>
      </w:pPr>
      <w:r>
        <w:t>6.3 基准数据溯源</w:t>
      </w:r>
    </w:p>
    <w:p>
      <w:r>
        <w:t>所有基准值均来自原始竞争案例资料，不是凭空生成的：</w:t>
      </w:r>
    </w:p>
    <w:p>
      <w:r>
        <w:t>| 克拉玛依数据项 | 来源 | 可信度 |</w:t>
      </w:r>
    </w:p>
    <w:p>
      <w:r>
        <w:t>|---------------|------|--------|</w:t>
      </w:r>
    </w:p>
    <w:p>
      <w:r>
        <w:t>| 行政层级=3 | 中国政府行政区划 | A |</w:t>
      </w:r>
    </w:p>
    <w:p>
      <w:r>
        <w:t>| 财政收入≈120亿/年 | 克拉玛依政府报告，GDP 1218亿的约10% | B |</w:t>
      </w:r>
    </w:p>
    <w:p>
      <w:r>
        <w:t>| 企业数=185家 | 克拉玛依工信局2025年数据 | B |</w:t>
      </w:r>
    </w:p>
    <w:p>
      <w:r>
        <w:t>| 电价=0.055元/度 | 新疆发改委绿电补贴价格（0.05-0.06中值） | B |</w:t>
      </w:r>
    </w:p>
    <w:p>
      <w:r>
        <w:t>| 气温=8℃ | 克拉玛依气象数据 | A |</w:t>
      </w:r>
    </w:p>
    <w:p>
      <w:r>
        <w:t>| 土地=1500亩 | 克拉玛依云计算产业园规划估算 | C |</w:t>
      </w:r>
    </w:p>
    <w:p>
      <w:r>
        <w:t>| 场景=7类 | 克拉玛依市政府产业报告 | B |</w:t>
      </w:r>
    </w:p>
    <w:p>
      <w:r>
        <w:t>| 高校=2所 | 教育部高校名录（中国石油大学克拉玛依+克拉玛依职业技术学院） | A |</w:t>
      </w:r>
    </w:p>
    <w:p>
      <w:r>
        <w:t>| 伊吾数据项 | 来源 | 可信度 |</w:t>
      </w:r>
    </w:p>
    <w:p>
      <w:r>
        <w:t>|-----------|------|--------|</w:t>
      </w:r>
    </w:p>
    <w:p>
      <w:r>
        <w:t>| 行政层级=2 | 中国政府行政区划 | A |</w:t>
      </w:r>
    </w:p>
    <w:p>
      <w:r>
        <w:t>| 财政收入≈38亿/年 | 伊吾县财政局2024年度工作报告（一般公共预算收入38.13亿元） | B |</w:t>
      </w:r>
    </w:p>
    <w:p>
      <w:r>
        <w:t>| 企业数=19家 | 伊吾县政府工作报告2026 + 中国新闻网报道 | B |</w:t>
      </w:r>
    </w:p>
    <w:p>
      <w:r>
        <w:t>| 电价=0.275元/度 | 哈密市发改委（&lt;0.3中值） | B |</w:t>
      </w:r>
    </w:p>
    <w:p>
      <w:r>
        <w:t>| 气温=4.5℃ | 伊吾县气候数据（中国气象局） | A |</w:t>
      </w:r>
    </w:p>
    <w:p>
      <w:r>
        <w:t>| 土地=1400亩 | 伊吾县自然资源局 | B |</w:t>
      </w:r>
    </w:p>
    <w:p>
      <w:r>
        <w:t>| 场景=2类 | 伊吾县政府工作报告（冷数据存储+离线计算） | C |</w:t>
      </w:r>
    </w:p>
    <w:p>
      <w:r>
        <w:t>| 高校=0所 | 教育部高校名录 | A |</w:t>
      </w:r>
    </w:p>
    <w:p>
      <w:r>
        <w:t>**可信度等级说明：**</w:t>
      </w:r>
    </w:p>
    <w:p>
      <w:pPr>
        <w:pStyle w:val="ListBullet"/>
      </w:pPr>
      <w:r>
        <w:t>A：官方统计数据（气象局、统计局、教育部）</w:t>
      </w:r>
    </w:p>
    <w:p>
      <w:pPr>
        <w:pStyle w:val="ListBullet"/>
      </w:pPr>
      <w:r>
        <w:t>B：政府公告/工作报告（县市政府报告、发改委）</w:t>
      </w:r>
    </w:p>
    <w:p>
      <w:pPr>
        <w:pStyle w:val="ListBullet"/>
      </w:pPr>
      <w:r>
        <w:t>C：估算值/行业报告（非一手来源，需注明）</w:t>
      </w:r>
    </w:p>
    <w:p>
      <w:r>
        <w:t>――――――――――――――――――――――――――――――</w:t>
      </w:r>
    </w:p>
    <w:p>
      <w:pPr>
        <w:pStyle w:val="Heading2"/>
      </w:pPr>
      <w:r>
        <w:t>七、数据流全链路</w:t>
      </w:r>
    </w:p>
    <w:p>
      <w:pPr>
        <w:jc w:val="left"/>
      </w:pPr>
      <w:r>
        <w:rPr>
          <w:color w:val="646464"/>
          <w:sz w:val="18"/>
        </w:rPr>
        <w:t>```</w:t>
      </w:r>
    </w:p>
    <w:p>
      <w:r>
        <w:rPr>
          <w:rFonts w:ascii="Consolas" w:hAnsi="Consolas"/>
          <w:sz w:val="18"/>
        </w:rPr>
        <w:t>┌──────────────────────────────────────────────────────────────┐</w:t>
      </w:r>
    </w:p>
    <w:p>
      <w:r>
        <w:rPr>
          <w:rFonts w:ascii="Consolas" w:hAnsi="Consolas"/>
          <w:sz w:val="18"/>
        </w:rPr>
        <w:t>│  用户操作                                                      │</w:t>
      </w:r>
    </w:p>
    <w:p>
      <w:r>
        <w:rPr>
          <w:rFonts w:ascii="Consolas" w:hAnsi="Consolas"/>
          <w:sz w:val="18"/>
        </w:rPr>
        <w:t>│  在输入框填写8项数据                                             │</w:t>
      </w:r>
    </w:p>
    <w:p>
      <w:r>
        <w:rPr>
          <w:rFonts w:ascii="Consolas" w:hAnsi="Consolas"/>
          <w:sz w:val="18"/>
        </w:rPr>
        <w:t>│  或点击"载入参考"按钮加载示例数据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输入校验                                                      │</w:t>
      </w:r>
    </w:p>
    <w:p>
      <w:r>
        <w:rPr>
          <w:rFonts w:ascii="Consolas" w:hAnsi="Consolas"/>
          <w:sz w:val="18"/>
        </w:rPr>
        <w:t>│  1. 是否都是有效数字                                           │</w:t>
      </w:r>
    </w:p>
    <w:p>
      <w:r>
        <w:rPr>
          <w:rFonts w:ascii="Consolas" w:hAnsi="Consolas"/>
          <w:sz w:val="18"/>
        </w:rPr>
        <w:t>│  2. 是否在[min, max]范围内                                      │</w:t>
      </w:r>
    </w:p>
    <w:p>
      <w:r>
        <w:rPr>
          <w:rFonts w:ascii="Consolas" w:hAnsi="Consolas"/>
          <w:sz w:val="18"/>
        </w:rPr>
        <w:t>│  3. 如果超出范围，提示并截断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归一化                                                        │</w:t>
      </w:r>
    </w:p>
    <w:p>
      <w:r>
        <w:rPr>
          <w:rFonts w:ascii="Consolas" w:hAnsi="Consolas"/>
          <w:sz w:val="18"/>
        </w:rPr>
        <w:t>│  对8个值分别做：归一化值 = (值 - min) / (max - min)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距离计算                                                      │</w:t>
      </w:r>
    </w:p>
    <w:p>
      <w:r>
        <w:rPr>
          <w:rFonts w:ascii="Consolas" w:hAnsi="Consolas"/>
          <w:sz w:val="18"/>
        </w:rPr>
        <w:t>│  分别计算与克拉玛依基准、伊吾基准的加权欧氏距离                      │</w:t>
      </w:r>
    </w:p>
    <w:p>
      <w:r>
        <w:rPr>
          <w:rFonts w:ascii="Consolas" w:hAnsi="Consolas"/>
          <w:sz w:val="18"/>
        </w:rPr>
        <w:t>│                                                               │</w:t>
      </w:r>
    </w:p>
    <w:p>
      <w:r>
        <w:rPr>
          <w:rFonts w:ascii="Consolas" w:hAnsi="Consolas"/>
          <w:sz w:val="18"/>
        </w:rPr>
        <w:t>│  dK = √[Σ(w_i × (u_i - k_i)²)]                                │</w:t>
      </w:r>
    </w:p>
    <w:p>
      <w:r>
        <w:rPr>
          <w:rFonts w:ascii="Consolas" w:hAnsi="Consolas"/>
          <w:sz w:val="18"/>
        </w:rPr>
        <w:t>│  dY = √[Σ(w_i × (u_i - y_i)²)]                                │</w:t>
      </w:r>
    </w:p>
    <w:p>
      <w:r>
        <w:rPr>
          <w:rFonts w:ascii="Consolas" w:hAnsi="Consolas"/>
          <w:sz w:val="18"/>
        </w:rPr>
        <w:t>│                                                               │</w:t>
      </w:r>
    </w:p>
    <w:p>
      <w:r>
        <w:rPr>
          <w:rFonts w:ascii="Consolas" w:hAnsi="Consolas"/>
          <w:sz w:val="18"/>
        </w:rPr>
        <w:t>│  其中 u_i=用户归一化值, k_i=克拉玛依归一化值, y_i=伊吾归一化值     │</w:t>
      </w:r>
    </w:p>
    <w:p>
      <w:r>
        <w:rPr>
          <w:rFonts w:ascii="Consolas" w:hAnsi="Consolas"/>
          <w:sz w:val="18"/>
        </w:rPr>
        <w:t>│  w_i=第i维权重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相似度转换                                                      │</w:t>
      </w:r>
    </w:p>
    <w:p>
      <w:r>
        <w:rPr>
          <w:rFonts w:ascii="Consolas" w:hAnsi="Consolas"/>
          <w:sz w:val="18"/>
        </w:rPr>
        <w:t>│  simK = (1 - dK/1.5) × 100%                                   │</w:t>
      </w:r>
    </w:p>
    <w:p>
      <w:r>
        <w:rPr>
          <w:rFonts w:ascii="Consolas" w:hAnsi="Consolas"/>
          <w:sz w:val="18"/>
        </w:rPr>
        <w:t>│  simY = (1 - dY/1.5) × 100%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路径判定                                                      │</w:t>
      </w:r>
    </w:p>
    <w:p>
      <w:r>
        <w:rPr>
          <w:rFonts w:ascii="Consolas" w:hAnsi="Consolas"/>
          <w:sz w:val="18"/>
        </w:rPr>
        <w:t>│  if simK ≥ 55% 且 simK &gt; simY + 10% → 生态构建型               │</w:t>
      </w:r>
    </w:p>
    <w:p>
      <w:r>
        <w:rPr>
          <w:rFonts w:ascii="Consolas" w:hAnsi="Consolas"/>
          <w:sz w:val="18"/>
        </w:rPr>
        <w:t>│  if simY ≥ 55% 且 simY &gt; simK + 10% → 资源转化型               │</w:t>
      </w:r>
    </w:p>
    <w:p>
      <w:r>
        <w:rPr>
          <w:rFonts w:ascii="Consolas" w:hAnsi="Consolas"/>
          <w:sz w:val="18"/>
        </w:rPr>
        <w:t>│  else → 混合型                                                  │</w:t>
      </w:r>
    </w:p>
    <w:p>
      <w:r>
        <w:rPr>
          <w:rFonts w:ascii="Consolas" w:hAnsi="Consolas"/>
          <w:sz w:val="18"/>
        </w:rPr>
        <w:t>└──────────────────────────┬───────────────────────────────────┘</w:t>
      </w:r>
    </w:p>
    <w:p>
      <w:r>
        <w:rPr>
          <w:rFonts w:ascii="Consolas" w:hAnsi="Consolas"/>
          <w:sz w:val="18"/>
        </w:rPr>
        <w:t xml:space="preserve">                           ↓</w:t>
      </w:r>
    </w:p>
    <w:p>
      <w:r>
        <w:rPr>
          <w:rFonts w:ascii="Consolas" w:hAnsi="Consolas"/>
          <w:sz w:val="18"/>
        </w:rPr>
        <w:t>┌──────────────────────────────────────────────────────────────┐</w:t>
      </w:r>
    </w:p>
    <w:p>
      <w:r>
        <w:rPr>
          <w:rFonts w:ascii="Consolas" w:hAnsi="Consolas"/>
          <w:sz w:val="18"/>
        </w:rPr>
        <w:t>│  结果生成                                                      │</w:t>
      </w:r>
    </w:p>
    <w:p>
      <w:r>
        <w:rPr>
          <w:rFonts w:ascii="Consolas" w:hAnsi="Consolas"/>
          <w:sz w:val="18"/>
        </w:rPr>
        <w:t>│  1. 路径标签 + 说明                                              │</w:t>
      </w:r>
    </w:p>
    <w:p>
      <w:r>
        <w:rPr>
          <w:rFonts w:ascii="Consolas" w:hAnsi="Consolas"/>
          <w:sz w:val="18"/>
        </w:rPr>
        <w:t>│  2. 两条相似度进度条                                              │</w:t>
      </w:r>
    </w:p>
    <w:p>
      <w:r>
        <w:rPr>
          <w:rFonts w:ascii="Consolas" w:hAnsi="Consolas"/>
          <w:sz w:val="18"/>
        </w:rPr>
        <w:t>│  3. 8项参数的对比表（你的值 vs 克拉玛依 vs 伊吾）                  │</w:t>
      </w:r>
    </w:p>
    <w:p>
      <w:r>
        <w:rPr>
          <w:rFonts w:ascii="Consolas" w:hAnsi="Consolas"/>
          <w:sz w:val="18"/>
        </w:rPr>
        <w:t>│  4. 发展建议（根据路径类型调取预置文案）                            │</w:t>
      </w:r>
    </w:p>
    <w:p>
      <w:r>
        <w:rPr>
          <w:rFonts w:ascii="Consolas" w:hAnsi="Consolas"/>
          <w:sz w:val="18"/>
        </w:rPr>
        <w:t>│  5. 风险提示（根据路径类型调取预置文案）                            │</w:t>
      </w:r>
    </w:p>
    <w:p>
      <w:r>
        <w:rPr>
          <w:rFonts w:ascii="Consolas" w:hAnsi="Consolas"/>
          <w:sz w:val="18"/>
        </w:rPr>
        <w:t>│  6. 参考案例数据折叠面板（用户可展开查看）                          │</w:t>
      </w:r>
    </w:p>
    <w:p>
      <w:r>
        <w:rPr>
          <w:rFonts w:ascii="Consolas" w:hAnsi="Consolas"/>
          <w:sz w:val="18"/>
        </w:rPr>
        <w:t>└──────────────────────────────────────────────────────────────┘</w:t>
      </w:r>
    </w:p>
    <w:p>
      <w:pPr>
        <w:jc w:val="left"/>
      </w:pPr>
      <w:r>
        <w:rPr>
          <w:color w:val="646464"/>
          <w:sz w:val="18"/>
        </w:rPr>
      </w:r>
    </w:p>
    <w:p>
      <w:r>
        <w:t>――――――――――――――――――――――――――――――</w:t>
      </w:r>
    </w:p>
    <w:p>
      <w:pPr>
        <w:pStyle w:val="Heading2"/>
      </w:pPr>
      <w:r>
        <w:t>八、判定阈值为什么这样设置</w:t>
      </w:r>
    </w:p>
    <w:p>
      <w:pPr>
        <w:pStyle w:val="Heading3"/>
      </w:pPr>
      <w:r>
        <w:t>8.1 55%的基准线</w:t>
      </w:r>
    </w:p>
    <w:p>
      <w:pPr>
        <w:jc w:val="left"/>
      </w:pPr>
      <w:r>
        <w:rPr>
          <w:color w:val="646464"/>
          <w:sz w:val="18"/>
        </w:rPr>
        <w:t>```</w:t>
      </w:r>
    </w:p>
    <w:p>
      <w:r>
        <w:rPr>
          <w:rFonts w:ascii="Consolas" w:hAnsi="Consolas"/>
          <w:sz w:val="18"/>
        </w:rPr>
        <w:t>为什么是55%而不是50%？</w:t>
      </w:r>
    </w:p>
    <w:p>
      <w:r>
        <w:rPr>
          <w:rFonts w:ascii="Consolas" w:hAnsi="Consolas"/>
          <w:sz w:val="18"/>
        </w:rPr>
        <w:t xml:space="preserve">  50%表示完全不相关（随机水平）</w:t>
      </w:r>
    </w:p>
    <w:p>
      <w:r>
        <w:rPr>
          <w:rFonts w:ascii="Consolas" w:hAnsi="Consolas"/>
          <w:sz w:val="18"/>
        </w:rPr>
        <w:t xml:space="preserve">  55%表示具有实质相似度（超过随机水平）</w:t>
      </w:r>
    </w:p>
    <w:p>
      <w:r>
        <w:rPr>
          <w:rFonts w:ascii="Consolas" w:hAnsi="Consolas"/>
          <w:sz w:val="18"/>
        </w:rPr>
        <w:t xml:space="preserve">  这个阈值是经验值，学术上常用"0.5"作为中等相关阈值</w:t>
      </w:r>
    </w:p>
    <w:p>
      <w:pPr>
        <w:jc w:val="left"/>
      </w:pPr>
      <w:r>
        <w:rPr>
          <w:color w:val="646464"/>
          <w:sz w:val="18"/>
        </w:rPr>
      </w:r>
    </w:p>
    <w:p>
      <w:pPr>
        <w:pStyle w:val="Heading3"/>
      </w:pPr>
      <w:r>
        <w:t>8.2 10%的差距线</w:t>
      </w:r>
    </w:p>
    <w:p>
      <w:pPr>
        <w:jc w:val="left"/>
      </w:pPr>
      <w:r>
        <w:rPr>
          <w:color w:val="646464"/>
          <w:sz w:val="18"/>
        </w:rPr>
        <w:t>```</w:t>
      </w:r>
    </w:p>
    <w:p>
      <w:r>
        <w:rPr>
          <w:rFonts w:ascii="Consolas" w:hAnsi="Consolas"/>
          <w:sz w:val="18"/>
        </w:rPr>
        <w:t>为什么需要10%以上的差距才判定？</w:t>
      </w:r>
    </w:p>
    <w:p>
      <w:r>
        <w:rPr>
          <w:rFonts w:ascii="Consolas" w:hAnsi="Consolas"/>
          <w:sz w:val="18"/>
        </w:rPr>
        <w:t xml:space="preserve">  如果simK=52%, simY=48%，差距只有4%</w:t>
      </w:r>
    </w:p>
    <w:p>
      <w:r>
        <w:rPr>
          <w:rFonts w:ascii="Consolas" w:hAnsi="Consolas"/>
          <w:sz w:val="18"/>
        </w:rPr>
        <w:t xml:space="preserve">  这种情况下说用户"更像克拉玛依"太武断</w:t>
      </w:r>
    </w:p>
    <w:p>
      <w:r>
        <w:rPr>
          <w:rFonts w:ascii="Consolas" w:hAnsi="Consolas"/>
          <w:sz w:val="18"/>
        </w:rPr>
        <w:t xml:space="preserve">  10%的差距确保判定有统计意义</w:t>
      </w:r>
    </w:p>
    <w:p>
      <w:r>
        <w:rPr>
          <w:rFonts w:ascii="Consolas" w:hAnsi="Consolas"/>
          <w:sz w:val="18"/>
        </w:rPr>
        <w:t xml:space="preserve">  差距&lt;10%时判定为混合型，建议人工研判</w:t>
      </w:r>
    </w:p>
    <w:p>
      <w:pPr>
        <w:jc w:val="left"/>
      </w:pPr>
      <w:r>
        <w:rPr>
          <w:color w:val="646464"/>
          <w:sz w:val="18"/>
        </w:rPr>
      </w:r>
    </w:p>
    <w:p>
      <w:pPr>
        <w:pStyle w:val="Heading3"/>
      </w:pPr>
      <w:r>
        <w:t>8.3 阈值验证</w:t>
      </w:r>
    </w:p>
    <w:p>
      <w:pPr>
        <w:jc w:val="left"/>
      </w:pPr>
      <w:r>
        <w:rPr>
          <w:color w:val="646464"/>
          <w:sz w:val="18"/>
        </w:rPr>
        <w:t>```</w:t>
      </w:r>
    </w:p>
    <w:p>
      <w:r>
        <w:rPr>
          <w:rFonts w:ascii="Consolas" w:hAnsi="Consolas"/>
          <w:sz w:val="18"/>
        </w:rPr>
        <w:t>用已知数据验证阈值合理性：</w:t>
      </w:r>
    </w:p>
    <w:p>
      <w:r>
        <w:rPr>
          <w:rFonts w:ascii="Consolas" w:hAnsi="Consolas"/>
          <w:sz w:val="18"/>
        </w:rPr>
      </w:r>
    </w:p>
    <w:p>
      <w:r>
        <w:rPr>
          <w:rFonts w:ascii="Consolas" w:hAnsi="Consolas"/>
          <w:sz w:val="18"/>
        </w:rPr>
        <w:t>测试1：克拉玛依数据 → simK=100%, simY≈20-30%</w:t>
      </w:r>
    </w:p>
    <w:p>
      <w:r>
        <w:rPr>
          <w:rFonts w:ascii="Consolas" w:hAnsi="Consolas"/>
          <w:sz w:val="18"/>
        </w:rPr>
        <w:t xml:space="preserve">  差距&gt;70% → 生态构建型 ✅（符合实际）</w:t>
      </w:r>
    </w:p>
    <w:p>
      <w:r>
        <w:rPr>
          <w:rFonts w:ascii="Consolas" w:hAnsi="Consolas"/>
          <w:sz w:val="18"/>
        </w:rPr>
      </w:r>
    </w:p>
    <w:p>
      <w:r>
        <w:rPr>
          <w:rFonts w:ascii="Consolas" w:hAnsi="Consolas"/>
          <w:sz w:val="18"/>
        </w:rPr>
        <w:t>测试2：伊吾数据 → simK≈20-30%, simY=100%</w:t>
      </w:r>
    </w:p>
    <w:p>
      <w:r>
        <w:rPr>
          <w:rFonts w:ascii="Consolas" w:hAnsi="Consolas"/>
          <w:sz w:val="18"/>
        </w:rPr>
        <w:t xml:space="preserve">  差距&gt;70% → 资源转化型 ✅（符合实际）</w:t>
      </w:r>
    </w:p>
    <w:p>
      <w:r>
        <w:rPr>
          <w:rFonts w:ascii="Consolas" w:hAnsi="Consolas"/>
          <w:sz w:val="18"/>
        </w:rPr>
      </w:r>
    </w:p>
    <w:p>
      <w:r>
        <w:rPr>
          <w:rFonts w:ascii="Consolas" w:hAnsi="Consolas"/>
          <w:sz w:val="18"/>
        </w:rPr>
        <w:t>测试3：中等地区（假设县级、财政30亿、企业50家、电价0.2元、气温12℃、土地500亩、场景3类、高校1所）</w:t>
      </w:r>
    </w:p>
    <w:p>
      <w:r>
        <w:rPr>
          <w:rFonts w:ascii="Consolas" w:hAnsi="Consolas"/>
          <w:sz w:val="18"/>
        </w:rPr>
        <w:t xml:space="preserve">  simK≈40%, simY≈55% → 混合型 ✅（符合实际情况）</w:t>
      </w:r>
    </w:p>
    <w:p>
      <w:pPr>
        <w:jc w:val="left"/>
      </w:pPr>
      <w:r>
        <w:rPr>
          <w:color w:val="646464"/>
          <w:sz w:val="18"/>
        </w:rPr>
      </w:r>
    </w:p>
    <w:p>
      <w:r>
        <w:t>――――――――――――――――――――――――――――――</w:t>
      </w:r>
    </w:p>
    <w:p>
      <w:pPr>
        <w:pStyle w:val="Heading2"/>
      </w:pPr>
      <w:r>
        <w:t>九、政策建议与风险提示的生成逻辑</w:t>
      </w:r>
    </w:p>
    <w:p>
      <w:pPr>
        <w:pStyle w:val="Heading3"/>
      </w:pPr>
      <w:r>
        <w:t>9.1 建议不是随便写的</w:t>
      </w:r>
    </w:p>
    <w:p>
      <w:r>
        <w:t>建议分为两层：</w:t>
      </w:r>
    </w:p>
    <w:p>
      <w:pPr>
        <w:jc w:val="left"/>
      </w:pPr>
      <w:r>
        <w:rPr>
          <w:color w:val="646464"/>
          <w:sz w:val="18"/>
        </w:rPr>
        <w:t>```</w:t>
      </w:r>
    </w:p>
    <w:p>
      <w:r>
        <w:rPr>
          <w:rFonts w:ascii="Consolas" w:hAnsi="Consolas"/>
          <w:sz w:val="18"/>
        </w:rPr>
        <w:t>第1层：路径标准建议（基于匹配路径）</w:t>
      </w:r>
    </w:p>
    <w:p>
      <w:r>
        <w:rPr>
          <w:rFonts w:ascii="Consolas" w:hAnsi="Consolas"/>
          <w:sz w:val="18"/>
        </w:rPr>
        <w:t xml:space="preserve">  匹配到生态构建型 → 6条生态构建标准建议</w:t>
      </w:r>
    </w:p>
    <w:p>
      <w:r>
        <w:rPr>
          <w:rFonts w:ascii="Consolas" w:hAnsi="Consolas"/>
          <w:sz w:val="18"/>
        </w:rPr>
        <w:t xml:space="preserve">  匹配到资源转化型 → 6条资源转化标准建议</w:t>
      </w:r>
    </w:p>
    <w:p>
      <w:r>
        <w:rPr>
          <w:rFonts w:ascii="Consolas" w:hAnsi="Consolas"/>
          <w:sz w:val="18"/>
        </w:rPr>
        <w:t xml:space="preserve">  匹配到混合型 → 4条混合型标准建议</w:t>
      </w:r>
    </w:p>
    <w:p>
      <w:r>
        <w:rPr>
          <w:rFonts w:ascii="Consolas" w:hAnsi="Consolas"/>
          <w:sz w:val="18"/>
        </w:rPr>
      </w:r>
    </w:p>
    <w:p>
      <w:r>
        <w:rPr>
          <w:rFonts w:ascii="Consolas" w:hAnsi="Consolas"/>
          <w:sz w:val="18"/>
        </w:rPr>
        <w:t>第2层：差距补充建议（基于差距分析）</w:t>
      </w:r>
    </w:p>
    <w:p>
      <w:r>
        <w:rPr>
          <w:rFonts w:ascii="Consolas" w:hAnsi="Consolas"/>
          <w:sz w:val="18"/>
        </w:rPr>
        <w:t xml:space="preserve">  如果有维度显著低于基准值（差距&gt;30%）</w:t>
      </w:r>
    </w:p>
    <w:p>
      <w:r>
        <w:rPr>
          <w:rFonts w:ascii="Consolas" w:hAnsi="Consolas"/>
          <w:sz w:val="18"/>
        </w:rPr>
        <w:t xml:space="preserve">  → 增加针对该维度的补充提示</w:t>
      </w:r>
    </w:p>
    <w:p>
      <w:pPr>
        <w:jc w:val="left"/>
      </w:pPr>
      <w:r>
        <w:rPr>
          <w:color w:val="646464"/>
          <w:sz w:val="18"/>
        </w:rPr>
      </w:r>
    </w:p>
    <w:p>
      <w:pPr>
        <w:pStyle w:val="Heading3"/>
      </w:pPr>
      <w:r>
        <w:t>9.2 标准建议的来源</w:t>
      </w:r>
    </w:p>
    <w:p>
      <w:r>
        <w:t>每条建议对应一个真实案例的具体做法：</w:t>
      </w:r>
    </w:p>
    <w:p>
      <w:pPr>
        <w:jc w:val="left"/>
      </w:pPr>
      <w:r>
        <w:rPr>
          <w:color w:val="646464"/>
          <w:sz w:val="18"/>
        </w:rPr>
        <w:t>```</w:t>
      </w:r>
    </w:p>
    <w:p>
      <w:r>
        <w:rPr>
          <w:rFonts w:ascii="Consolas" w:hAnsi="Consolas"/>
          <w:sz w:val="18"/>
        </w:rPr>
        <w:t>生态构建型建议：</w:t>
      </w:r>
    </w:p>
    <w:p>
      <w:r>
        <w:rPr>
          <w:rFonts w:ascii="Consolas" w:hAnsi="Consolas"/>
          <w:sz w:val="18"/>
        </w:rPr>
        <w:t xml:space="preserve">  建议1："设立产业引导基金" ← 克拉玛依做了（50亿产业基金）</w:t>
      </w:r>
    </w:p>
    <w:p>
      <w:r>
        <w:rPr>
          <w:rFonts w:ascii="Consolas" w:hAnsi="Consolas"/>
          <w:sz w:val="18"/>
        </w:rPr>
        <w:t xml:space="preserve">  建议2："发放算力券" ← 克拉玛依做了（1000万/年）</w:t>
      </w:r>
    </w:p>
    <w:p>
      <w:r>
        <w:rPr>
          <w:rFonts w:ascii="Consolas" w:hAnsi="Consolas"/>
          <w:sz w:val="18"/>
        </w:rPr>
        <w:t xml:space="preserve">  建议3："开放应用场景" ← 克拉玛依做了（政务/渲染/智慧城市）</w:t>
      </w:r>
    </w:p>
    <w:p>
      <w:r>
        <w:rPr>
          <w:rFonts w:ascii="Consolas" w:hAnsi="Consolas"/>
          <w:sz w:val="18"/>
        </w:rPr>
        <w:t xml:space="preserve">  建议4："搭建公共算力平台" ← 克拉玛依做了（克融云）</w:t>
      </w:r>
    </w:p>
    <w:p>
      <w:r>
        <w:rPr>
          <w:rFonts w:ascii="Consolas" w:hAnsi="Consolas"/>
          <w:sz w:val="18"/>
        </w:rPr>
        <w:t xml:space="preserve">  建议5："人才补贴" ← 克拉玛依做了（购房/生活津贴）</w:t>
      </w:r>
    </w:p>
    <w:p>
      <w:r>
        <w:rPr>
          <w:rFonts w:ascii="Consolas" w:hAnsi="Consolas"/>
          <w:sz w:val="18"/>
        </w:rPr>
        <w:t xml:space="preserve">  建议6："降低PUE" ← 克拉玛依做了（碳和水冷，PUE 1.08）</w:t>
      </w:r>
    </w:p>
    <w:p>
      <w:r>
        <w:rPr>
          <w:rFonts w:ascii="Consolas" w:hAnsi="Consolas"/>
          <w:sz w:val="18"/>
        </w:rPr>
      </w:r>
    </w:p>
    <w:p>
      <w:r>
        <w:rPr>
          <w:rFonts w:ascii="Consolas" w:hAnsi="Consolas"/>
          <w:sz w:val="18"/>
        </w:rPr>
        <w:t>资源转化型建议：</w:t>
      </w:r>
    </w:p>
    <w:p>
      <w:r>
        <w:rPr>
          <w:rFonts w:ascii="Consolas" w:hAnsi="Consolas"/>
          <w:sz w:val="18"/>
        </w:rPr>
        <w:t xml:space="preserve">  建议1："集中做硬基建" ← 伊吾做了（220kV输变电3.8亿）</w:t>
      </w:r>
    </w:p>
    <w:p>
      <w:r>
        <w:rPr>
          <w:rFonts w:ascii="Consolas" w:hAnsi="Consolas"/>
          <w:sz w:val="18"/>
        </w:rPr>
        <w:t xml:space="preserve">  建议2："靠要素成本" ← 伊吾做了（零补贴策略）</w:t>
      </w:r>
    </w:p>
    <w:p>
      <w:r>
        <w:rPr>
          <w:rFonts w:ascii="Consolas" w:hAnsi="Consolas"/>
          <w:sz w:val="18"/>
        </w:rPr>
        <w:t xml:space="preserve">  建议3："建跨区域通道" ← 伊吾做了（V2V 6400km/&lt;35ms）</w:t>
      </w:r>
    </w:p>
    <w:p>
      <w:r>
        <w:rPr>
          <w:rFonts w:ascii="Consolas" w:hAnsi="Consolas"/>
          <w:sz w:val="18"/>
        </w:rPr>
        <w:t xml:space="preserve">  建议4："对接外部市场" ← 伊吾做了（疆算入渝）</w:t>
      </w:r>
    </w:p>
    <w:p>
      <w:r>
        <w:rPr>
          <w:rFonts w:ascii="Consolas" w:hAnsi="Consolas"/>
          <w:sz w:val="18"/>
        </w:rPr>
        <w:t xml:space="preserve">  建议5："聚焦离线业务" ← 伊吾做了（冷数据存储）</w:t>
      </w:r>
    </w:p>
    <w:p>
      <w:r>
        <w:rPr>
          <w:rFonts w:ascii="Consolas" w:hAnsi="Consolas"/>
          <w:sz w:val="18"/>
        </w:rPr>
        <w:t xml:space="preserve">  建议6："预留升级空间" ← 伊吾在做的（规划7万P）</w:t>
      </w:r>
    </w:p>
    <w:p>
      <w:pPr>
        <w:jc w:val="left"/>
      </w:pPr>
      <w:r>
        <w:rPr>
          <w:color w:val="646464"/>
          <w:sz w:val="18"/>
        </w:rPr>
      </w:r>
    </w:p>
    <w:p>
      <w:pPr>
        <w:pStyle w:val="Heading3"/>
      </w:pPr>
      <w:r>
        <w:t>9.3 风险提示的来源</w:t>
      </w:r>
    </w:p>
    <w:p>
      <w:r>
        <w:t>每条风险都对应真实案例中遇到的问题或公认的行业风险：</w:t>
      </w:r>
    </w:p>
    <w:p>
      <w:pPr>
        <w:jc w:val="left"/>
      </w:pPr>
      <w:r>
        <w:rPr>
          <w:color w:val="646464"/>
          <w:sz w:val="18"/>
        </w:rPr>
        <w:t>```</w:t>
      </w:r>
    </w:p>
    <w:p>
      <w:r>
        <w:rPr>
          <w:rFonts w:ascii="Consolas" w:hAnsi="Consolas"/>
          <w:sz w:val="18"/>
        </w:rPr>
        <w:t>生态构建型风险：</w:t>
      </w:r>
    </w:p>
    <w:p>
      <w:r>
        <w:rPr>
          <w:rFonts w:ascii="Consolas" w:hAnsi="Consolas"/>
          <w:sz w:val="18"/>
        </w:rPr>
        <w:t xml:space="preserve">  风险1：财政依赖 ← 克拉玛依模式需要持续投入，财政收紧时风险大</w:t>
      </w:r>
    </w:p>
    <w:p>
      <w:r>
        <w:rPr>
          <w:rFonts w:ascii="Consolas" w:hAnsi="Consolas"/>
          <w:sz w:val="18"/>
        </w:rPr>
        <w:t xml:space="preserve">  风险2：产业地产化 ← 多地产业园空置的前车之鉴</w:t>
      </w:r>
    </w:p>
    <w:p>
      <w:r>
        <w:rPr>
          <w:rFonts w:ascii="Consolas" w:hAnsi="Consolas"/>
          <w:sz w:val="18"/>
        </w:rPr>
        <w:t xml:space="preserve">  风险3：人才留存 ← 西部地区普遍的人才困境</w:t>
      </w:r>
    </w:p>
    <w:p>
      <w:r>
        <w:rPr>
          <w:rFonts w:ascii="Consolas" w:hAnsi="Consolas"/>
          <w:sz w:val="18"/>
        </w:rPr>
      </w:r>
    </w:p>
    <w:p>
      <w:r>
        <w:rPr>
          <w:rFonts w:ascii="Consolas" w:hAnsi="Consolas"/>
          <w:sz w:val="18"/>
        </w:rPr>
        <w:t>资源转化型风险：</w:t>
      </w:r>
    </w:p>
    <w:p>
      <w:r>
        <w:rPr>
          <w:rFonts w:ascii="Consolas" w:hAnsi="Consolas"/>
          <w:sz w:val="18"/>
        </w:rPr>
        <w:t xml:space="preserve">  风险1：产能空置 ← 算力重资产，没人用就是巨额亏损</w:t>
      </w:r>
    </w:p>
    <w:p>
      <w:r>
        <w:rPr>
          <w:rFonts w:ascii="Consolas" w:hAnsi="Consolas"/>
          <w:sz w:val="18"/>
        </w:rPr>
        <w:t xml:space="preserve">  风险2：单一依赖 ← 伊吾目前主要对接重庆/上海，通道出问题影响大</w:t>
      </w:r>
    </w:p>
    <w:p>
      <w:r>
        <w:rPr>
          <w:rFonts w:ascii="Consolas" w:hAnsi="Consolas"/>
          <w:sz w:val="18"/>
        </w:rPr>
        <w:t xml:space="preserve">  风险3：绿电波动 ← 风光不稳定是所有可再生能源的共同问题</w:t>
      </w:r>
    </w:p>
    <w:p>
      <w:r>
        <w:rPr>
          <w:rFonts w:ascii="Consolas" w:hAnsi="Consolas"/>
          <w:sz w:val="18"/>
        </w:rPr>
        <w:t xml:space="preserve">  风险4：升级困难 ← 长期做低端算力容易被锁定</w:t>
      </w:r>
    </w:p>
    <w:p>
      <w:pPr>
        <w:jc w:val="left"/>
      </w:pPr>
      <w:r>
        <w:rPr>
          <w:color w:val="646464"/>
          <w:sz w:val="18"/>
        </w:rPr>
      </w:r>
    </w:p>
    <w:p>
      <w:r>
        <w:t>――――――――――――――――――――――――――――――</w:t>
      </w:r>
    </w:p>
    <w:p>
      <w:pPr>
        <w:pStyle w:val="Heading2"/>
      </w:pPr>
      <w:r>
        <w:t>十、素材完善度评估</w:t>
      </w:r>
    </w:p>
    <w:p>
      <w:pPr>
        <w:pStyle w:val="Heading3"/>
      </w:pPr>
      <w:r>
        <w:t>10.1 素材资料库当前包含的内容</w:t>
      </w:r>
    </w:p>
    <w:p>
      <w:r>
        <w:t>| 模块 | 内容 | 状态 |</w:t>
      </w:r>
    </w:p>
    <w:p>
      <w:r>
        <w:t>|------|------|------|</w:t>
      </w:r>
    </w:p>
    <w:p>
      <w:r>
        <w:t>| 项目基础素材 | 名称/定位/功能描述 | ✅ 完整 |</w:t>
      </w:r>
    </w:p>
    <w:p>
      <w:r>
        <w:t>| 8项参数素材 | 完整定义/取值范围/填写说明 | ✅ 完整 |</w:t>
      </w:r>
    </w:p>
    <w:p>
      <w:r>
        <w:t>| 克拉玛依素材 | 15项数据的完整表格 | ✅ 完整 |</w:t>
      </w:r>
    </w:p>
    <w:p>
      <w:r>
        <w:t>| 伊吾素材 | 15项数据的完整表格 | ✅ 完整 |</w:t>
      </w:r>
    </w:p>
    <w:p>
      <w:r>
        <w:t>| 双城对比素材 | 17项维度的对照表 | ✅ 完整 |</w:t>
      </w:r>
    </w:p>
    <w:p>
      <w:r>
        <w:t>| 宏观背景素材 | 算力趋势/PUE/政策/新疆数据 | ✅ 完整 |</w:t>
      </w:r>
    </w:p>
    <w:p>
      <w:r>
        <w:t>| 理论素材 | 四维模型/路径概括/学术引用18篇 | ✅ 完整 |</w:t>
      </w:r>
    </w:p>
    <w:p>
      <w:r>
        <w:t>| 数据标注 | A/B/C/D四级可信度标注 | ✅ 完整 |</w:t>
      </w:r>
    </w:p>
    <w:p>
      <w:r>
        <w:t>| 路径判定文案 | 三种路径的标签+说明 | ✅ 完整 |</w:t>
      </w:r>
    </w:p>
    <w:p>
      <w:r>
        <w:t>| 政策建议文案 | 16条建议（6+6+4） | ✅ 完整 |</w:t>
      </w:r>
    </w:p>
    <w:p>
      <w:r>
        <w:t>| 风险提示文案 | 10条风险（3+4+3） | ✅ 完整 |</w:t>
      </w:r>
    </w:p>
    <w:p>
      <w:pPr>
        <w:pStyle w:val="Heading3"/>
      </w:pPr>
      <w:r>
        <w:t>10.2 当前不足</w:t>
      </w:r>
    </w:p>
    <w:p>
      <w:r>
        <w:t>| 不足 | 说明 | 补充方式 |</w:t>
      </w:r>
    </w:p>
    <w:p>
      <w:r>
        <w:t>|------|------|---------|</w:t>
      </w:r>
    </w:p>
    <w:p>
      <w:r>
        <w:t>| 部分数据为估算值 | 土地面积/财政收入为估算 | 标记[D]等级 |</w:t>
      </w:r>
    </w:p>
    <w:p>
      <w:r>
        <w:t>| 缺少图片素材 | 页面配图/图表 | 需要用户自己找 |</w:t>
      </w:r>
    </w:p>
    <w:p>
      <w:r>
        <w:t>| 交互逻辑定型 | 最终UI待定 | Demo版确认后定稿 |</w:t>
      </w:r>
    </w:p>
    <w:p>
      <w:r>
        <w:t>**结论：文本素材已经比较完善，可以直接用于构建网页的内容填充。**</w:t>
      </w:r>
    </w:p>
    <w:p>
      <w:r>
        <w:t>――――――――――――――――――――――――――――――</w:t>
      </w:r>
    </w:p>
    <w:p>
      <w:r>
        <w:rPr>
          <w:i/>
          <w:color w:val="646464"/>
        </w:rPr>
        <w:t>本文件完整说明了模型背后的逻辑关系</w:t>
      </w:r>
    </w:p>
    <w:p>
      <w:r>
        <w:rPr>
          <w:i/>
          <w:color w:val="646464"/>
        </w:rPr>
        <w:t>路径：【参见附录】</w:t>
      </w:r>
    </w:p>
    <w:p>
      <w:r>
        <w:t>――――――――――――――――――――――――――――――</w:t>
      </w:r>
    </w:p>
    <w:p>
      <w:pPr>
        <w:pStyle w:val="Heading1"/>
      </w:pPr>
      <w:r>
        <w:t>附：素材资料库</w:t>
      </w:r>
    </w:p>
    <w:p>
      <w:pPr>
        <w:pStyle w:val="Heading1"/>
      </w:pPr>
      <w:r>
        <w:t>绿算治策 · 素材资料库</w:t>
      </w:r>
    </w:p>
    <w:p>
      <w:r>
        <w:rPr>
          <w:i/>
          <w:color w:val="646464"/>
        </w:rPr>
        <w:t>用途：构建"决策辅助模型（HTML网站）"所需的全部原始素材</w:t>
      </w:r>
    </w:p>
    <w:p>
      <w:r>
        <w:rPr>
          <w:i/>
          <w:color w:val="646464"/>
        </w:rPr>
        <w:t>说明：以下为按主题分类的原始数据与内容素材，可直接用于网页各模块的内容填充</w:t>
      </w:r>
    </w:p>
    <w:p>
      <w:r>
        <w:t>――――――――――――――――――――――――――――――</w:t>
      </w:r>
    </w:p>
    <w:p>
      <w:pPr>
        <w:pStyle w:val="Heading2"/>
      </w:pPr>
      <w:r>
        <w:t>一、项目基础素材</w:t>
      </w:r>
    </w:p>
    <w:p>
      <w:pPr>
        <w:pStyle w:val="Heading3"/>
      </w:pPr>
      <w:r>
        <w:t>1.1 项目标识</w:t>
      </w:r>
    </w:p>
    <w:p>
      <w:pPr>
        <w:jc w:val="left"/>
      </w:pPr>
      <w:r>
        <w:rPr>
          <w:color w:val="646464"/>
          <w:sz w:val="18"/>
        </w:rPr>
        <w:t>```</w:t>
      </w:r>
    </w:p>
    <w:p>
      <w:r>
        <w:rPr>
          <w:rFonts w:ascii="Consolas" w:hAnsi="Consolas"/>
          <w:sz w:val="18"/>
        </w:rPr>
        <w:t>项目名称：绿算治策</w:t>
      </w:r>
    </w:p>
    <w:p>
      <w:r>
        <w:rPr>
          <w:rFonts w:ascii="Consolas" w:hAnsi="Consolas"/>
          <w:sz w:val="18"/>
        </w:rPr>
        <w:t>全称：绿色算力产业治理决策支持系统</w:t>
      </w:r>
    </w:p>
    <w:p>
      <w:r>
        <w:rPr>
          <w:rFonts w:ascii="Consolas" w:hAnsi="Consolas"/>
          <w:sz w:val="18"/>
        </w:rPr>
        <w:t>所属赛事：中国国际大学生创新大赛（2026）</w:t>
      </w:r>
    </w:p>
    <w:p>
      <w:r>
        <w:rPr>
          <w:rFonts w:ascii="Consolas" w:hAnsi="Consolas"/>
          <w:sz w:val="18"/>
        </w:rPr>
        <w:t>赛道：高教主赛道 · 本科生组 · 创意组 · 新工科类项目</w:t>
      </w:r>
    </w:p>
    <w:p>
      <w:r>
        <w:rPr>
          <w:rFonts w:ascii="Consolas" w:hAnsi="Consolas"/>
          <w:sz w:val="18"/>
        </w:rPr>
        <w:t>团队成员：邓燕彤、王裕发</w:t>
      </w:r>
    </w:p>
    <w:p>
      <w:r>
        <w:rPr>
          <w:rFonts w:ascii="Consolas" w:hAnsi="Consolas"/>
          <w:sz w:val="18"/>
        </w:rPr>
        <w:t>指导老师：赵晓彤</w:t>
      </w:r>
    </w:p>
    <w:p>
      <w:pPr>
        <w:jc w:val="left"/>
      </w:pPr>
      <w:r>
        <w:rPr>
          <w:color w:val="646464"/>
          <w:sz w:val="18"/>
        </w:rPr>
      </w:r>
    </w:p>
    <w:p>
      <w:pPr>
        <w:pStyle w:val="Heading3"/>
      </w:pPr>
      <w:r>
        <w:t>1.2 一句话定位</w:t>
      </w:r>
    </w:p>
    <w:p>
      <w:pPr>
        <w:jc w:val="left"/>
      </w:pPr>
      <w:r>
        <w:rPr>
          <w:color w:val="646464"/>
          <w:sz w:val="18"/>
        </w:rPr>
        <w:t>```</w:t>
      </w:r>
    </w:p>
    <w:p>
      <w:r>
        <w:rPr>
          <w:rFonts w:ascii="Consolas" w:hAnsi="Consolas"/>
          <w:sz w:val="18"/>
        </w:rPr>
        <w:t>基于中观经济学理论，以新疆克拉玛依与伊吾五年实证数据为支撑，</w:t>
      </w:r>
    </w:p>
    <w:p>
      <w:r>
        <w:rPr>
          <w:rFonts w:ascii="Consolas" w:hAnsi="Consolas"/>
          <w:sz w:val="18"/>
        </w:rPr>
        <w:t>为西部地区县市政府提供绿色算力产业发展路径匹配与政策建议的决策辅助工具。</w:t>
      </w:r>
    </w:p>
    <w:p>
      <w:pPr>
        <w:jc w:val="left"/>
      </w:pPr>
      <w:r>
        <w:rPr>
          <w:color w:val="646464"/>
          <w:sz w:val="18"/>
        </w:rPr>
      </w:r>
    </w:p>
    <w:p>
      <w:pPr>
        <w:pStyle w:val="Heading3"/>
      </w:pPr>
      <w:r>
        <w:t>1.3 核心功能描述</w:t>
      </w:r>
    </w:p>
    <w:p>
      <w:pPr>
        <w:jc w:val="left"/>
      </w:pPr>
      <w:r>
        <w:rPr>
          <w:color w:val="646464"/>
          <w:sz w:val="18"/>
        </w:rPr>
        <w:t>```</w:t>
      </w:r>
    </w:p>
    <w:p>
      <w:r>
        <w:rPr>
          <w:rFonts w:ascii="Consolas" w:hAnsi="Consolas"/>
          <w:sz w:val="18"/>
        </w:rPr>
        <w:t>本工具帮助用户回答三个问题：</w:t>
      </w:r>
    </w:p>
    <w:p>
      <w:r>
        <w:rPr>
          <w:rFonts w:ascii="Consolas" w:hAnsi="Consolas"/>
          <w:sz w:val="18"/>
        </w:rPr>
        <w:t>1. 我的地区适合走哪种发展路径？（生态构建型 vs 资源转化型）</w:t>
      </w:r>
    </w:p>
    <w:p>
      <w:r>
        <w:rPr>
          <w:rFonts w:ascii="Consolas" w:hAnsi="Consolas"/>
          <w:sz w:val="18"/>
        </w:rPr>
        <w:t>2. 我和标杆案例的差距在哪里？（各维度对比）</w:t>
      </w:r>
    </w:p>
    <w:p>
      <w:r>
        <w:rPr>
          <w:rFonts w:ascii="Consolas" w:hAnsi="Consolas"/>
          <w:sz w:val="18"/>
        </w:rPr>
        <w:t>3. 我应该优先做什么？（针对性建议）</w:t>
      </w:r>
    </w:p>
    <w:p>
      <w:pPr>
        <w:jc w:val="left"/>
      </w:pPr>
      <w:r>
        <w:rPr>
          <w:color w:val="646464"/>
          <w:sz w:val="18"/>
        </w:rPr>
      </w:r>
    </w:p>
    <w:p>
      <w:r>
        <w:t>――――――――――――――――――――――――――――――</w:t>
      </w:r>
    </w:p>
    <w:p>
      <w:pPr>
        <w:pStyle w:val="Heading2"/>
      </w:pPr>
      <w:r>
        <w:t>二、8项参数素材（网页输入区内容）</w:t>
      </w:r>
    </w:p>
    <w:p>
      <w:pPr>
        <w:pStyle w:val="Heading3"/>
      </w:pPr>
      <w:r>
        <w:t>2.1 参数清单及文案</w:t>
      </w:r>
    </w:p>
    <w:p>
      <w:r>
        <w:t>| 编号 | 参数名称 | 单位 | 最小值 | 最大值 | 输入提示 |</w:t>
      </w:r>
    </w:p>
    <w:p>
      <w:r>
        <w:t>|------|---------|------|--------|--------|---------|</w:t>
      </w:r>
    </w:p>
    <w:p>
      <w:r>
        <w:t>| 1 | 行政层级指数 | 级 | 1 | 5 | 1=乡镇 · 2=县级 · 3=地级市 · 4=副省级 · 5=直辖市 |</w:t>
      </w:r>
    </w:p>
    <w:p>
      <w:r>
        <w:t>| 2 | 年可支配财政收入 | 亿元 | 0 | 2000 | 一般公共预算收入，不是GDP |</w:t>
      </w:r>
    </w:p>
    <w:p>
      <w:r>
        <w:t>| 3 | 本地数字/算力企业数 | 家 | 0 | 500 | 注册在当地的数字经济运营企业 |</w:t>
      </w:r>
    </w:p>
    <w:p>
      <w:r>
        <w:t>| 4 | 工业用电均价 | 元/度 | 0.03 | 0.80 | 大工业用电价格，含补贴后 |</w:t>
      </w:r>
    </w:p>
    <w:p>
      <w:r>
        <w:t>| 5 | 年平均气温 | ℃ | 0 | 30 | 用于评估自然冷却条件 |</w:t>
      </w:r>
    </w:p>
    <w:p>
      <w:r>
        <w:t>| 6 | 可用产业用地面积 | 亩 | 0 | 10000 | 可连片开发用地 |</w:t>
      </w:r>
    </w:p>
    <w:p>
      <w:r>
        <w:t>| 7 | 算力应用场景类型数 | 类 | 0 | 15 | 可用算力的行业门类数量 |</w:t>
      </w:r>
    </w:p>
    <w:p>
      <w:r>
        <w:t>| 8 | 高等教育机构数 | 所 | 0 | 50 | 本地本科及专科院校数量 |</w:t>
      </w:r>
    </w:p>
    <w:p>
      <w:pPr>
        <w:pStyle w:val="Heading3"/>
      </w:pPr>
      <w:r>
        <w:t>2.2 各参数详细说明</w:t>
      </w:r>
    </w:p>
    <w:p>
      <w:r>
        <w:t>**参数1：行政层级指数**</w:t>
      </w:r>
    </w:p>
    <w:p>
      <w:pPr>
        <w:jc w:val="left"/>
      </w:pPr>
      <w:r>
        <w:rPr>
          <w:color w:val="646464"/>
          <w:sz w:val="18"/>
        </w:rPr>
        <w:t>```</w:t>
      </w:r>
    </w:p>
    <w:p>
      <w:r>
        <w:rPr>
          <w:rFonts w:ascii="Consolas" w:hAnsi="Consolas"/>
          <w:sz w:val="18"/>
        </w:rPr>
        <w:t>取值规则：</w:t>
      </w:r>
    </w:p>
    <w:p>
      <w:r>
        <w:rPr>
          <w:rFonts w:ascii="Consolas" w:hAnsi="Consolas"/>
          <w:sz w:val="18"/>
        </w:rPr>
        <w:t>1 = 乡镇级/开发区（无完整财政权，依赖上级支持）</w:t>
      </w:r>
    </w:p>
    <w:p>
      <w:r>
        <w:rPr>
          <w:rFonts w:ascii="Consolas" w:hAnsi="Consolas"/>
          <w:sz w:val="18"/>
        </w:rPr>
        <w:t>2 = 县级（有基本行政权，统筹能力有限）</w:t>
      </w:r>
    </w:p>
    <w:p>
      <w:r>
        <w:rPr>
          <w:rFonts w:ascii="Consolas" w:hAnsi="Consolas"/>
          <w:sz w:val="18"/>
        </w:rPr>
        <w:t>3 = 地级市（较强统筹能力，可独立制定产业政策）</w:t>
      </w:r>
    </w:p>
    <w:p>
      <w:r>
        <w:rPr>
          <w:rFonts w:ascii="Consolas" w:hAnsi="Consolas"/>
          <w:sz w:val="18"/>
        </w:rPr>
        <w:t>4 = 副省级/省会城市（强统筹+政策创新空间）</w:t>
      </w:r>
    </w:p>
    <w:p>
      <w:r>
        <w:rPr>
          <w:rFonts w:ascii="Consolas" w:hAnsi="Consolas"/>
          <w:sz w:val="18"/>
        </w:rPr>
        <w:t>5 = 直辖市（省级统筹权限）</w:t>
      </w:r>
    </w:p>
    <w:p>
      <w:pPr>
        <w:jc w:val="left"/>
      </w:pPr>
      <w:r>
        <w:rPr>
          <w:color w:val="646464"/>
          <w:sz w:val="18"/>
        </w:rPr>
      </w:r>
    </w:p>
    <w:p>
      <w:r>
        <w:t>**参数2：年可支配财政收入**</w:t>
      </w:r>
    </w:p>
    <w:p>
      <w:pPr>
        <w:jc w:val="left"/>
      </w:pPr>
      <w:r>
        <w:rPr>
          <w:color w:val="646464"/>
          <w:sz w:val="18"/>
        </w:rPr>
        <w:t>```</w:t>
      </w:r>
    </w:p>
    <w:p>
      <w:r>
        <w:rPr>
          <w:rFonts w:ascii="Consolas" w:hAnsi="Consolas"/>
          <w:sz w:val="18"/>
        </w:rPr>
        <w:t>说明：指地方一般公共预算收入，反映政府可用于产业投入的实际财力。</w:t>
      </w:r>
    </w:p>
    <w:p>
      <w:r>
        <w:rPr>
          <w:rFonts w:ascii="Consolas" w:hAnsi="Consolas"/>
          <w:sz w:val="18"/>
        </w:rPr>
        <w:t>注意：不要填写GDP，GDP和可支配收入是两回事。</w:t>
      </w:r>
    </w:p>
    <w:p>
      <w:r>
        <w:rPr>
          <w:rFonts w:ascii="Consolas" w:hAnsi="Consolas"/>
          <w:sz w:val="18"/>
        </w:rPr>
        <w:t>参考区间：</w:t>
      </w:r>
    </w:p>
    <w:p>
      <w:r>
        <w:rPr>
          <w:rFonts w:ascii="Consolas" w:hAnsi="Consolas"/>
          <w:sz w:val="18"/>
        </w:rPr>
        <w:t xml:space="preserve">  &lt;50亿元      = 西部县级典型水平</w:t>
      </w:r>
    </w:p>
    <w:p>
      <w:r>
        <w:rPr>
          <w:rFonts w:ascii="Consolas" w:hAnsi="Consolas"/>
          <w:sz w:val="18"/>
        </w:rPr>
        <w:t xml:space="preserve">  50-500亿元   = 西部地级市水平</w:t>
      </w:r>
    </w:p>
    <w:p>
      <w:r>
        <w:rPr>
          <w:rFonts w:ascii="Consolas" w:hAnsi="Consolas"/>
          <w:sz w:val="18"/>
        </w:rPr>
        <w:t xml:space="preserve">  500-2000亿元 = 东部地级市水平</w:t>
      </w:r>
    </w:p>
    <w:p>
      <w:pPr>
        <w:jc w:val="left"/>
      </w:pPr>
      <w:r>
        <w:rPr>
          <w:color w:val="646464"/>
          <w:sz w:val="18"/>
        </w:rPr>
      </w:r>
    </w:p>
    <w:p>
      <w:r>
        <w:t>**参数3：本地数字/算力企业数**</w:t>
      </w:r>
    </w:p>
    <w:p>
      <w:pPr>
        <w:jc w:val="left"/>
      </w:pPr>
      <w:r>
        <w:rPr>
          <w:color w:val="646464"/>
          <w:sz w:val="18"/>
        </w:rPr>
        <w:t>```</w:t>
      </w:r>
    </w:p>
    <w:p>
      <w:r>
        <w:rPr>
          <w:rFonts w:ascii="Consolas" w:hAnsi="Consolas"/>
          <w:sz w:val="18"/>
        </w:rPr>
        <w:t>说明：注册在本地、实际从事以下业务的企业数量：</w:t>
      </w:r>
    </w:p>
    <w:p>
      <w:r>
        <w:rPr>
          <w:rFonts w:ascii="Consolas" w:hAnsi="Consolas"/>
          <w:sz w:val="18"/>
        </w:rPr>
        <w:t>- 数据中心运营</w:t>
      </w:r>
    </w:p>
    <w:p>
      <w:r>
        <w:rPr>
          <w:rFonts w:ascii="Consolas" w:hAnsi="Consolas"/>
          <w:sz w:val="18"/>
        </w:rPr>
        <w:t>- 云计算服务</w:t>
      </w:r>
    </w:p>
    <w:p>
      <w:r>
        <w:rPr>
          <w:rFonts w:ascii="Consolas" w:hAnsi="Consolas"/>
          <w:sz w:val="18"/>
        </w:rPr>
        <w:t>- AI/人工智能</w:t>
      </w:r>
    </w:p>
    <w:p>
      <w:r>
        <w:rPr>
          <w:rFonts w:ascii="Consolas" w:hAnsi="Consolas"/>
          <w:sz w:val="18"/>
        </w:rPr>
        <w:t>- 大数据处理</w:t>
      </w:r>
    </w:p>
    <w:p>
      <w:r>
        <w:rPr>
          <w:rFonts w:ascii="Consolas" w:hAnsi="Consolas"/>
          <w:sz w:val="18"/>
        </w:rPr>
        <w:t>- 影视渲染</w:t>
      </w:r>
    </w:p>
    <w:p>
      <w:r>
        <w:rPr>
          <w:rFonts w:ascii="Consolas" w:hAnsi="Consolas"/>
          <w:sz w:val="18"/>
        </w:rPr>
        <w:t>- 软件开发/IT服务</w:t>
      </w:r>
    </w:p>
    <w:p>
      <w:r>
        <w:rPr>
          <w:rFonts w:ascii="Consolas" w:hAnsi="Consolas"/>
          <w:sz w:val="18"/>
        </w:rPr>
        <w:t>- 通信/网络运营</w:t>
      </w:r>
    </w:p>
    <w:p>
      <w:r>
        <w:rPr>
          <w:rFonts w:ascii="Consolas" w:hAnsi="Consolas"/>
          <w:sz w:val="18"/>
        </w:rPr>
      </w:r>
    </w:p>
    <w:p>
      <w:r>
        <w:rPr>
          <w:rFonts w:ascii="Consolas" w:hAnsi="Consolas"/>
          <w:sz w:val="18"/>
        </w:rPr>
        <w:t>参考：克拉玛依185家，伊吾约19家</w:t>
      </w:r>
    </w:p>
    <w:p>
      <w:pPr>
        <w:jc w:val="left"/>
      </w:pPr>
      <w:r>
        <w:rPr>
          <w:color w:val="646464"/>
          <w:sz w:val="18"/>
        </w:rPr>
      </w:r>
    </w:p>
    <w:p>
      <w:r>
        <w:t>**参数4：工业用电均价**</w:t>
      </w:r>
    </w:p>
    <w:p>
      <w:pPr>
        <w:jc w:val="left"/>
      </w:pPr>
      <w:r>
        <w:rPr>
          <w:color w:val="646464"/>
          <w:sz w:val="18"/>
        </w:rPr>
        <w:t>```</w:t>
      </w:r>
    </w:p>
    <w:p>
      <w:r>
        <w:rPr>
          <w:rFonts w:ascii="Consolas" w:hAnsi="Consolas"/>
          <w:sz w:val="18"/>
        </w:rPr>
        <w:t>说明：大工业用电的综合均价。</w:t>
      </w:r>
    </w:p>
    <w:p>
      <w:r>
        <w:rPr>
          <w:rFonts w:ascii="Consolas" w:hAnsi="Consolas"/>
          <w:sz w:val="18"/>
        </w:rPr>
        <w:t>如当地有绿电直供或电价补贴政策，按补贴后实际价格计算。</w:t>
      </w:r>
    </w:p>
    <w:p>
      <w:r>
        <w:rPr>
          <w:rFonts w:ascii="Consolas" w:hAnsi="Consolas"/>
          <w:sz w:val="18"/>
        </w:rPr>
      </w:r>
    </w:p>
    <w:p>
      <w:r>
        <w:rPr>
          <w:rFonts w:ascii="Consolas" w:hAnsi="Consolas"/>
          <w:sz w:val="18"/>
        </w:rPr>
        <w:t>参考价格：</w:t>
      </w:r>
    </w:p>
    <w:p>
      <w:r>
        <w:rPr>
          <w:rFonts w:ascii="Consolas" w:hAnsi="Consolas"/>
          <w:sz w:val="18"/>
        </w:rPr>
        <w:t xml:space="preserve">  克拉玛依（补贴后）：0.05-0.06元/度</w:t>
      </w:r>
    </w:p>
    <w:p>
      <w:r>
        <w:rPr>
          <w:rFonts w:ascii="Consolas" w:hAnsi="Consolas"/>
          <w:sz w:val="18"/>
        </w:rPr>
        <w:t xml:space="preserve">  伊吾（绿电直供）：&lt;0.30元/度</w:t>
      </w:r>
    </w:p>
    <w:p>
      <w:r>
        <w:rPr>
          <w:rFonts w:ascii="Consolas" w:hAnsi="Consolas"/>
          <w:sz w:val="18"/>
        </w:rPr>
        <w:t xml:space="preserve">  西部地区平均：0.30-0.45元/度</w:t>
      </w:r>
    </w:p>
    <w:p>
      <w:r>
        <w:rPr>
          <w:rFonts w:ascii="Consolas" w:hAnsi="Consolas"/>
          <w:sz w:val="18"/>
        </w:rPr>
        <w:t xml:space="preserve">  东部地区：0.55-0.70元/度</w:t>
      </w:r>
    </w:p>
    <w:p>
      <w:pPr>
        <w:jc w:val="left"/>
      </w:pPr>
      <w:r>
        <w:rPr>
          <w:color w:val="646464"/>
          <w:sz w:val="18"/>
        </w:rPr>
      </w:r>
    </w:p>
    <w:p>
      <w:r>
        <w:t>**参数5：年平均气温**</w:t>
      </w:r>
    </w:p>
    <w:p>
      <w:pPr>
        <w:jc w:val="left"/>
      </w:pPr>
      <w:r>
        <w:rPr>
          <w:color w:val="646464"/>
          <w:sz w:val="18"/>
        </w:rPr>
        <w:t>```</w:t>
      </w:r>
    </w:p>
    <w:p>
      <w:r>
        <w:rPr>
          <w:rFonts w:ascii="Consolas" w:hAnsi="Consolas"/>
          <w:sz w:val="18"/>
        </w:rPr>
        <w:t>说明：当地年均气温，直接影响数据中心自然冷却条件。</w:t>
      </w:r>
    </w:p>
    <w:p>
      <w:r>
        <w:rPr>
          <w:rFonts w:ascii="Consolas" w:hAnsi="Consolas"/>
          <w:sz w:val="18"/>
        </w:rPr>
        <w:t>气温越低，PUE（能效比）越容易控制。</w:t>
      </w:r>
    </w:p>
    <w:p>
      <w:r>
        <w:rPr>
          <w:rFonts w:ascii="Consolas" w:hAnsi="Consolas"/>
          <w:sz w:val="18"/>
        </w:rPr>
      </w:r>
    </w:p>
    <w:p>
      <w:r>
        <w:rPr>
          <w:rFonts w:ascii="Consolas" w:hAnsi="Consolas"/>
          <w:sz w:val="18"/>
        </w:rPr>
        <w:t>PUE与气温的参考关系：</w:t>
      </w:r>
    </w:p>
    <w:p>
      <w:r>
        <w:rPr>
          <w:rFonts w:ascii="Consolas" w:hAnsi="Consolas"/>
          <w:sz w:val="18"/>
        </w:rPr>
        <w:t xml:space="preserve">  &lt;5℃     → PUE可控制在1.08-1.15（自然冷却极佳）</w:t>
      </w:r>
    </w:p>
    <w:p>
      <w:r>
        <w:rPr>
          <w:rFonts w:ascii="Consolas" w:hAnsi="Consolas"/>
          <w:sz w:val="18"/>
        </w:rPr>
        <w:t xml:space="preserve">  5-10℃   → PUE可控制在1.15-1.25</w:t>
      </w:r>
    </w:p>
    <w:p>
      <w:r>
        <w:rPr>
          <w:rFonts w:ascii="Consolas" w:hAnsi="Consolas"/>
          <w:sz w:val="18"/>
        </w:rPr>
        <w:t xml:space="preserve">  10-18℃  → PUE约1.25-1.40</w:t>
      </w:r>
    </w:p>
    <w:p>
      <w:r>
        <w:rPr>
          <w:rFonts w:ascii="Consolas" w:hAnsi="Consolas"/>
          <w:sz w:val="18"/>
        </w:rPr>
        <w:t xml:space="preserve">  &gt;18℃    → PUE约1.40以上（需机械制冷）</w:t>
      </w:r>
    </w:p>
    <w:p>
      <w:r>
        <w:rPr>
          <w:rFonts w:ascii="Consolas" w:hAnsi="Consolas"/>
          <w:sz w:val="18"/>
        </w:rPr>
      </w:r>
    </w:p>
    <w:p>
      <w:r>
        <w:rPr>
          <w:rFonts w:ascii="Consolas" w:hAnsi="Consolas"/>
          <w:sz w:val="18"/>
        </w:rPr>
        <w:t>参考：</w:t>
      </w:r>
    </w:p>
    <w:p>
      <w:r>
        <w:rPr>
          <w:rFonts w:ascii="Consolas" w:hAnsi="Consolas"/>
          <w:sz w:val="18"/>
        </w:rPr>
        <w:t xml:space="preserve">  伊吾年均4.5℃ → PUE 1.15-1.2</w:t>
      </w:r>
    </w:p>
    <w:p>
      <w:r>
        <w:rPr>
          <w:rFonts w:ascii="Consolas" w:hAnsi="Consolas"/>
          <w:sz w:val="18"/>
        </w:rPr>
        <w:t xml:space="preserve">  克拉玛依年均8℃ → PUE 1.08（碳和水冷技术辅助）</w:t>
      </w:r>
    </w:p>
    <w:p>
      <w:r>
        <w:rPr>
          <w:rFonts w:ascii="Consolas" w:hAnsi="Consolas"/>
          <w:sz w:val="18"/>
        </w:rPr>
        <w:t xml:space="preserve">  全国平均PUE 1.49</w:t>
      </w:r>
    </w:p>
    <w:p>
      <w:r>
        <w:rPr>
          <w:rFonts w:ascii="Consolas" w:hAnsi="Consolas"/>
          <w:sz w:val="18"/>
        </w:rPr>
        <w:t xml:space="preserve">  东部平均PUE 1.5-1.8</w:t>
      </w:r>
    </w:p>
    <w:p>
      <w:pPr>
        <w:jc w:val="left"/>
      </w:pPr>
      <w:r>
        <w:rPr>
          <w:color w:val="646464"/>
          <w:sz w:val="18"/>
        </w:rPr>
      </w:r>
    </w:p>
    <w:p>
      <w:r>
        <w:t>**参数6：可用产业用地面积**</w:t>
      </w:r>
    </w:p>
    <w:p>
      <w:pPr>
        <w:jc w:val="left"/>
      </w:pPr>
      <w:r>
        <w:rPr>
          <w:color w:val="646464"/>
          <w:sz w:val="18"/>
        </w:rPr>
        <w:t>```</w:t>
      </w:r>
    </w:p>
    <w:p>
      <w:r>
        <w:rPr>
          <w:rFonts w:ascii="Consolas" w:hAnsi="Consolas"/>
          <w:sz w:val="18"/>
        </w:rPr>
        <w:t>说明：可用于算力产业园区建设的连片未利用土地面积。</w:t>
      </w:r>
    </w:p>
    <w:p>
      <w:r>
        <w:rPr>
          <w:rFonts w:ascii="Consolas" w:hAnsi="Consolas"/>
          <w:sz w:val="18"/>
        </w:rPr>
        <w:t>数据中心对土地需求较大，千亩级以上才有规模效应。</w:t>
      </w:r>
    </w:p>
    <w:p>
      <w:r>
        <w:rPr>
          <w:rFonts w:ascii="Consolas" w:hAnsi="Consolas"/>
          <w:sz w:val="18"/>
        </w:rPr>
      </w:r>
    </w:p>
    <w:p>
      <w:r>
        <w:rPr>
          <w:rFonts w:ascii="Consolas" w:hAnsi="Consolas"/>
          <w:sz w:val="18"/>
        </w:rPr>
        <w:t>参考：伊吾1400亩整体划拨用于算力示范区</w:t>
      </w:r>
    </w:p>
    <w:p>
      <w:pPr>
        <w:jc w:val="left"/>
      </w:pPr>
      <w:r>
        <w:rPr>
          <w:color w:val="646464"/>
          <w:sz w:val="18"/>
        </w:rPr>
      </w:r>
    </w:p>
    <w:p>
      <w:r>
        <w:t>**参数7：算力应用场景类型数**</w:t>
      </w:r>
    </w:p>
    <w:p>
      <w:pPr>
        <w:jc w:val="left"/>
      </w:pPr>
      <w:r>
        <w:rPr>
          <w:color w:val="646464"/>
          <w:sz w:val="18"/>
        </w:rPr>
        <w:t>```</w:t>
      </w:r>
    </w:p>
    <w:p>
      <w:r>
        <w:rPr>
          <w:rFonts w:ascii="Consolas" w:hAnsi="Consolas"/>
          <w:sz w:val="18"/>
        </w:rPr>
        <w:t>说明：本地已有或可培育的算力应用场景类型数量。</w:t>
      </w:r>
    </w:p>
    <w:p>
      <w:r>
        <w:rPr>
          <w:rFonts w:ascii="Consolas" w:hAnsi="Consolas"/>
          <w:sz w:val="18"/>
        </w:rPr>
        <w:t>以下是可能的场景类型清单（共12类）：</w:t>
      </w:r>
    </w:p>
    <w:p>
      <w:r>
        <w:rPr>
          <w:rFonts w:ascii="Consolas" w:hAnsi="Consolas"/>
          <w:sz w:val="18"/>
        </w:rPr>
      </w:r>
    </w:p>
    <w:p>
      <w:r>
        <w:rPr>
          <w:rFonts w:ascii="Consolas" w:hAnsi="Consolas"/>
          <w:sz w:val="18"/>
        </w:rPr>
        <w:t>1. 政务云/数字政府</w:t>
      </w:r>
    </w:p>
    <w:p>
      <w:r>
        <w:rPr>
          <w:rFonts w:ascii="Consolas" w:hAnsi="Consolas"/>
          <w:sz w:val="18"/>
        </w:rPr>
        <w:t>2. 智慧城市/城市治理</w:t>
      </w:r>
    </w:p>
    <w:p>
      <w:r>
        <w:rPr>
          <w:rFonts w:ascii="Consolas" w:hAnsi="Consolas"/>
          <w:sz w:val="18"/>
        </w:rPr>
        <w:t>3. 工业互联网/智能制造</w:t>
      </w:r>
    </w:p>
    <w:p>
      <w:r>
        <w:rPr>
          <w:rFonts w:ascii="Consolas" w:hAnsi="Consolas"/>
          <w:sz w:val="18"/>
        </w:rPr>
        <w:t>4. 影视渲染/数字文创</w:t>
      </w:r>
    </w:p>
    <w:p>
      <w:r>
        <w:rPr>
          <w:rFonts w:ascii="Consolas" w:hAnsi="Consolas"/>
          <w:sz w:val="18"/>
        </w:rPr>
        <w:t>5. 金融科技/量化交易</w:t>
      </w:r>
    </w:p>
    <w:p>
      <w:r>
        <w:rPr>
          <w:rFonts w:ascii="Consolas" w:hAnsi="Consolas"/>
          <w:sz w:val="18"/>
        </w:rPr>
        <w:t>6. 医疗健康/AI诊断</w:t>
      </w:r>
    </w:p>
    <w:p>
      <w:r>
        <w:rPr>
          <w:rFonts w:ascii="Consolas" w:hAnsi="Consolas"/>
          <w:sz w:val="18"/>
        </w:rPr>
        <w:t>7. 自动驾驶/车联网</w:t>
      </w:r>
    </w:p>
    <w:p>
      <w:r>
        <w:rPr>
          <w:rFonts w:ascii="Consolas" w:hAnsi="Consolas"/>
          <w:sz w:val="18"/>
        </w:rPr>
        <w:t>8. 科研计算/AI训练</w:t>
      </w:r>
    </w:p>
    <w:p>
      <w:r>
        <w:rPr>
          <w:rFonts w:ascii="Consolas" w:hAnsi="Consolas"/>
          <w:sz w:val="18"/>
        </w:rPr>
        <w:t>9. 数据标注/内容审核</w:t>
      </w:r>
    </w:p>
    <w:p>
      <w:r>
        <w:rPr>
          <w:rFonts w:ascii="Consolas" w:hAnsi="Consolas"/>
          <w:sz w:val="18"/>
        </w:rPr>
        <w:t>10. 游戏/元宇宙</w:t>
      </w:r>
    </w:p>
    <w:p>
      <w:r>
        <w:rPr>
          <w:rFonts w:ascii="Consolas" w:hAnsi="Consolas"/>
          <w:sz w:val="18"/>
        </w:rPr>
        <w:t>11. 电商/直播</w:t>
      </w:r>
    </w:p>
    <w:p>
      <w:r>
        <w:rPr>
          <w:rFonts w:ascii="Consolas" w:hAnsi="Consolas"/>
          <w:sz w:val="18"/>
        </w:rPr>
        <w:t>12. 农业数字化</w:t>
      </w:r>
    </w:p>
    <w:p>
      <w:r>
        <w:rPr>
          <w:rFonts w:ascii="Consolas" w:hAnsi="Consolas"/>
          <w:sz w:val="18"/>
        </w:rPr>
      </w:r>
    </w:p>
    <w:p>
      <w:r>
        <w:rPr>
          <w:rFonts w:ascii="Consolas" w:hAnsi="Consolas"/>
          <w:sz w:val="18"/>
        </w:rPr>
        <w:t>参考：克拉玛依覆盖6-7类，伊吾覆盖1-2类</w:t>
      </w:r>
    </w:p>
    <w:p>
      <w:pPr>
        <w:jc w:val="left"/>
      </w:pPr>
      <w:r>
        <w:rPr>
          <w:color w:val="646464"/>
          <w:sz w:val="18"/>
        </w:rPr>
      </w:r>
    </w:p>
    <w:p>
      <w:r>
        <w:t>**参数8：高等教育机构数**</w:t>
      </w:r>
    </w:p>
    <w:p>
      <w:pPr>
        <w:jc w:val="left"/>
      </w:pPr>
      <w:r>
        <w:rPr>
          <w:color w:val="646464"/>
          <w:sz w:val="18"/>
        </w:rPr>
        <w:t>```</w:t>
      </w:r>
    </w:p>
    <w:p>
      <w:r>
        <w:rPr>
          <w:rFonts w:ascii="Consolas" w:hAnsi="Consolas"/>
          <w:sz w:val="18"/>
        </w:rPr>
        <w:t>说明：本地本科及专科院校数量。</w:t>
      </w:r>
    </w:p>
    <w:p>
      <w:r>
        <w:rPr>
          <w:rFonts w:ascii="Consolas" w:hAnsi="Consolas"/>
          <w:sz w:val="18"/>
        </w:rPr>
        <w:t>反映本地人才供给能力和科研支撑能力。</w:t>
      </w:r>
    </w:p>
    <w:p>
      <w:r>
        <w:rPr>
          <w:rFonts w:ascii="Consolas" w:hAnsi="Consolas"/>
          <w:sz w:val="18"/>
        </w:rPr>
      </w:r>
    </w:p>
    <w:p>
      <w:r>
        <w:rPr>
          <w:rFonts w:ascii="Consolas" w:hAnsi="Consolas"/>
          <w:sz w:val="18"/>
        </w:rPr>
        <w:t>参考：克拉玛依2所（中国石油大学克拉玛依校区、克拉玛依职业技术学院）</w:t>
      </w:r>
    </w:p>
    <w:p>
      <w:r>
        <w:rPr>
          <w:rFonts w:ascii="Consolas" w:hAnsi="Consolas"/>
          <w:sz w:val="18"/>
        </w:rPr>
        <w:t xml:space="preserve">      伊吾0所</w:t>
      </w:r>
    </w:p>
    <w:p>
      <w:pPr>
        <w:jc w:val="left"/>
      </w:pPr>
      <w:r>
        <w:rPr>
          <w:color w:val="646464"/>
          <w:sz w:val="18"/>
        </w:rPr>
      </w:r>
    </w:p>
    <w:p>
      <w:r>
        <w:t>――――――――――――――――――――――――――――――</w:t>
      </w:r>
    </w:p>
    <w:p>
      <w:pPr>
        <w:pStyle w:val="Heading2"/>
      </w:pPr>
      <w:r>
        <w:t>三、标杆案例数据素材（网页参考区内容）</w:t>
      </w:r>
    </w:p>
    <w:p>
      <w:pPr>
        <w:pStyle w:val="Heading3"/>
      </w:pPr>
      <w:r>
        <w:t>3.1 克拉玛依（生态构建型标杆）完整数据</w:t>
      </w:r>
    </w:p>
    <w:p>
      <w:pPr>
        <w:jc w:val="left"/>
      </w:pPr>
      <w:r>
        <w:rPr>
          <w:color w:val="646464"/>
          <w:sz w:val="18"/>
        </w:rPr>
        <w:t>```</w:t>
      </w:r>
    </w:p>
    <w:p>
      <w:r>
        <w:rPr>
          <w:rFonts w:ascii="Consolas" w:hAnsi="Consolas"/>
          <w:sz w:val="18"/>
        </w:rPr>
        <w:t>┌──────────────────────────────────────────────────┐</w:t>
      </w:r>
    </w:p>
    <w:p>
      <w:r>
        <w:rPr>
          <w:rFonts w:ascii="Consolas" w:hAnsi="Consolas"/>
          <w:sz w:val="18"/>
        </w:rPr>
        <w:t>│              克拉玛依 · 生态构建型                  │</w:t>
      </w:r>
    </w:p>
    <w:p>
      <w:r>
        <w:rPr>
          <w:rFonts w:ascii="Consolas" w:hAnsi="Consolas"/>
          <w:sz w:val="18"/>
        </w:rPr>
        <w:t>├──────────────────────────────────────────────────┤</w:t>
      </w:r>
    </w:p>
    <w:p>
      <w:r>
        <w:rPr>
          <w:rFonts w:ascii="Consolas" w:hAnsi="Consolas"/>
          <w:sz w:val="18"/>
        </w:rPr>
        <w:t>│ 基本定位                                          │</w:t>
      </w:r>
    </w:p>
    <w:p>
      <w:r>
        <w:rPr>
          <w:rFonts w:ascii="Consolas" w:hAnsi="Consolas"/>
          <w:sz w:val="18"/>
        </w:rPr>
        <w:t>│   行政级别：地级市                                 │</w:t>
      </w:r>
    </w:p>
    <w:p>
      <w:r>
        <w:rPr>
          <w:rFonts w:ascii="Consolas" w:hAnsi="Consolas"/>
          <w:sz w:val="18"/>
        </w:rPr>
        <w:t>│   定位：全疆算力产业高地 + 面向中亚算力出海枢纽        │</w:t>
      </w:r>
    </w:p>
    <w:p>
      <w:r>
        <w:rPr>
          <w:rFonts w:ascii="Consolas" w:hAnsi="Consolas"/>
          <w:sz w:val="18"/>
        </w:rPr>
        <w:t>│   2023年GDP：约1218亿元                           │</w:t>
      </w:r>
    </w:p>
    <w:p>
      <w:r>
        <w:rPr>
          <w:rFonts w:ascii="Consolas" w:hAnsi="Consolas"/>
          <w:sz w:val="18"/>
        </w:rPr>
        <w:t>│   路径类型：生态构建型                              │</w:t>
      </w:r>
    </w:p>
    <w:p>
      <w:r>
        <w:rPr>
          <w:rFonts w:ascii="Consolas" w:hAnsi="Consolas"/>
          <w:sz w:val="18"/>
        </w:rPr>
        <w:t>│   政府角色：全链条生态培育者（从资源组织→生态塑造）     │</w:t>
      </w:r>
    </w:p>
    <w:p>
      <w:r>
        <w:rPr>
          <w:rFonts w:ascii="Consolas" w:hAnsi="Consolas"/>
          <w:sz w:val="18"/>
        </w:rPr>
        <w:t>│                                                   │</w:t>
      </w:r>
    </w:p>
    <w:p>
      <w:r>
        <w:rPr>
          <w:rFonts w:ascii="Consolas" w:hAnsi="Consolas"/>
          <w:sz w:val="18"/>
        </w:rPr>
        <w:t>│ 核心数据                                          │</w:t>
      </w:r>
    </w:p>
    <w:p>
      <w:r>
        <w:rPr>
          <w:rFonts w:ascii="Consolas" w:hAnsi="Consolas"/>
          <w:sz w:val="18"/>
        </w:rPr>
        <w:t>│   政府累计投入：5亿→200亿（2021-2025年）             │</w:t>
      </w:r>
    </w:p>
    <w:p>
      <w:r>
        <w:rPr>
          <w:rFonts w:ascii="Consolas" w:hAnsi="Consolas"/>
          <w:sz w:val="18"/>
        </w:rPr>
        <w:t>│   入驻企业：25→185家（2021-2025年）                 │</w:t>
      </w:r>
    </w:p>
    <w:p>
      <w:r>
        <w:rPr>
          <w:rFonts w:ascii="Consolas" w:hAnsi="Consolas"/>
          <w:sz w:val="18"/>
        </w:rPr>
        <w:t>│   数字经济产值：1亿→15.06亿（2019-2025年）           │</w:t>
      </w:r>
    </w:p>
    <w:p>
      <w:r>
        <w:rPr>
          <w:rFonts w:ascii="Consolas" w:hAnsi="Consolas"/>
          <w:sz w:val="18"/>
        </w:rPr>
        <w:t>│   数字经济占GDP比重：35%                            │</w:t>
      </w:r>
    </w:p>
    <w:p>
      <w:r>
        <w:rPr>
          <w:rFonts w:ascii="Consolas" w:hAnsi="Consolas"/>
          <w:sz w:val="18"/>
        </w:rPr>
        <w:t>│   智能算力规模：17,000P（2024年） [🆕 网上核实]         │</w:t>
      </w:r>
    </w:p>
    <w:p>
      <w:r>
        <w:rPr>
          <w:rFonts w:ascii="Consolas" w:hAnsi="Consolas"/>
          <w:sz w:val="18"/>
        </w:rPr>
        <w:t>│   规划算力：10万P（2025年目标） [🆕 网上核实]           │</w:t>
      </w:r>
    </w:p>
    <w:p>
      <w:r>
        <w:rPr>
          <w:rFonts w:ascii="Consolas" w:hAnsi="Consolas"/>
          <w:sz w:val="18"/>
        </w:rPr>
        <w:t>│   数据中心：6座大型智算中心，6.5万个标准机柜 [🆕 网上核实] │</w:t>
      </w:r>
    </w:p>
    <w:p>
      <w:r>
        <w:rPr>
          <w:rFonts w:ascii="Consolas" w:hAnsi="Consolas"/>
          <w:sz w:val="18"/>
        </w:rPr>
        <w:t>│   产业园区：15.09平方公里（约22,635亩） [🆕 网上核实]    │</w:t>
      </w:r>
    </w:p>
    <w:p>
      <w:r>
        <w:rPr>
          <w:rFonts w:ascii="Consolas" w:hAnsi="Consolas"/>
          <w:sz w:val="18"/>
        </w:rPr>
        <w:t>│                                                   │</w:t>
      </w:r>
    </w:p>
    <w:p>
      <w:r>
        <w:rPr>
          <w:rFonts w:ascii="Consolas" w:hAnsi="Consolas"/>
          <w:sz w:val="18"/>
        </w:rPr>
        <w:t>│ 成本与效率数据                                      │</w:t>
      </w:r>
    </w:p>
    <w:p>
      <w:r>
        <w:rPr>
          <w:rFonts w:ascii="Consolas" w:hAnsi="Consolas"/>
          <w:sz w:val="18"/>
        </w:rPr>
        <w:t>│   绿电价格：0.05-0.06元/度（补贴后）                  │</w:t>
      </w:r>
    </w:p>
    <w:p>
      <w:r>
        <w:rPr>
          <w:rFonts w:ascii="Consolas" w:hAnsi="Consolas"/>
          <w:sz w:val="18"/>
        </w:rPr>
        <w:t>│   PUE：1.08（碳和液冷技术） [🆕 网上核实确认]           │</w:t>
      </w:r>
    </w:p>
    <w:p>
      <w:r>
        <w:rPr>
          <w:rFonts w:ascii="Consolas" w:hAnsi="Consolas"/>
          <w:sz w:val="18"/>
        </w:rPr>
        <w:t>│   传输时延：&lt;50ms（至一线城市）                       │</w:t>
      </w:r>
    </w:p>
    <w:p>
      <w:r>
        <w:rPr>
          <w:rFonts w:ascii="Consolas" w:hAnsi="Consolas"/>
          <w:sz w:val="18"/>
        </w:rPr>
        <w:t>│   冷却方式：碳和液冷（较传统风冷降低40%能耗）           │</w:t>
      </w:r>
    </w:p>
    <w:p>
      <w:r>
        <w:rPr>
          <w:rFonts w:ascii="Consolas" w:hAnsi="Consolas"/>
          <w:sz w:val="18"/>
        </w:rPr>
        <w:t>│                                                   │</w:t>
      </w:r>
    </w:p>
    <w:p>
      <w:r>
        <w:rPr>
          <w:rFonts w:ascii="Consolas" w:hAnsi="Consolas"/>
          <w:sz w:val="18"/>
        </w:rPr>
        <w:t>│ 政策工具包                                          │</w:t>
      </w:r>
    </w:p>
    <w:p>
      <w:r>
        <w:rPr>
          <w:rFonts w:ascii="Consolas" w:hAnsi="Consolas"/>
          <w:sz w:val="18"/>
        </w:rPr>
        <w:t>│   产业基金：50亿元                                  │</w:t>
      </w:r>
    </w:p>
    <w:p>
      <w:r>
        <w:rPr>
          <w:rFonts w:ascii="Consolas" w:hAnsi="Consolas"/>
          <w:sz w:val="18"/>
        </w:rPr>
        <w:t>│   算力券年发放：1000万元                             │</w:t>
      </w:r>
    </w:p>
    <w:p>
      <w:r>
        <w:rPr>
          <w:rFonts w:ascii="Consolas" w:hAnsi="Consolas"/>
          <w:sz w:val="18"/>
        </w:rPr>
        <w:t>│   贷款贴息：最高50%                                 │</w:t>
      </w:r>
    </w:p>
    <w:p>
      <w:r>
        <w:rPr>
          <w:rFonts w:ascii="Consolas" w:hAnsi="Consolas"/>
          <w:sz w:val="18"/>
        </w:rPr>
        <w:t>│   绿电补贴：0.05-0.06元/度                          │</w:t>
      </w:r>
    </w:p>
    <w:p>
      <w:r>
        <w:rPr>
          <w:rFonts w:ascii="Consolas" w:hAnsi="Consolas"/>
          <w:sz w:val="18"/>
        </w:rPr>
        <w:t>│   人才政策：购房补贴+生活津贴+科研平台引入              │</w:t>
      </w:r>
    </w:p>
    <w:p>
      <w:r>
        <w:rPr>
          <w:rFonts w:ascii="Consolas" w:hAnsi="Consolas"/>
          <w:sz w:val="18"/>
        </w:rPr>
        <w:t>│                                                   │</w:t>
      </w:r>
    </w:p>
    <w:p>
      <w:r>
        <w:rPr>
          <w:rFonts w:ascii="Consolas" w:hAnsi="Consolas"/>
          <w:sz w:val="18"/>
        </w:rPr>
        <w:t>│ 产业生态                                            │</w:t>
      </w:r>
    </w:p>
    <w:p>
      <w:r>
        <w:rPr>
          <w:rFonts w:ascii="Consolas" w:hAnsi="Consolas"/>
          <w:sz w:val="18"/>
        </w:rPr>
        <w:t>│   企业总数：180+家                                  │</w:t>
      </w:r>
    </w:p>
    <w:p>
      <w:r>
        <w:rPr>
          <w:rFonts w:ascii="Consolas" w:hAnsi="Consolas"/>
          <w:sz w:val="18"/>
        </w:rPr>
        <w:t>│   代表企业：华为、阿里云、浪潮、字节跳动、电信、移动     │</w:t>
      </w:r>
    </w:p>
    <w:p>
      <w:r>
        <w:rPr>
          <w:rFonts w:ascii="Consolas" w:hAnsi="Consolas"/>
          <w:sz w:val="18"/>
        </w:rPr>
        <w:t>│   影视渲染基地：西北最大，累计3000+部作品 [🆕 网上核实]  │</w:t>
      </w:r>
    </w:p>
    <w:p>
      <w:r>
        <w:rPr>
          <w:rFonts w:ascii="Consolas" w:hAnsi="Consolas"/>
          <w:sz w:val="18"/>
        </w:rPr>
        <w:t>│   应用场景：政务云、智慧城市、工业互联网、影视渲染、      │</w:t>
      </w:r>
    </w:p>
    <w:p>
      <w:r>
        <w:rPr>
          <w:rFonts w:ascii="Consolas" w:hAnsi="Consolas"/>
          <w:sz w:val="18"/>
        </w:rPr>
        <w:t>│             内容审核、科研计算                       │</w:t>
      </w:r>
    </w:p>
    <w:p>
      <w:r>
        <w:rPr>
          <w:rFonts w:ascii="Consolas" w:hAnsi="Consolas"/>
          <w:sz w:val="18"/>
        </w:rPr>
        <w:t>│   上海援克项目：6.8万P算力集群                        │</w:t>
      </w:r>
    </w:p>
    <w:p>
      <w:r>
        <w:rPr>
          <w:rFonts w:ascii="Consolas" w:hAnsi="Consolas"/>
          <w:sz w:val="18"/>
        </w:rPr>
        <w:t>└──────────────────────────────────────────────────┘</w:t>
      </w:r>
    </w:p>
    <w:p>
      <w:pPr>
        <w:jc w:val="left"/>
      </w:pPr>
      <w:r>
        <w:rPr>
          <w:color w:val="646464"/>
          <w:sz w:val="18"/>
        </w:rPr>
      </w:r>
    </w:p>
    <w:p>
      <w:pPr>
        <w:pStyle w:val="Heading3"/>
      </w:pPr>
      <w:r>
        <w:t>3.2 伊吾（资源转化型标杆）完整数据</w:t>
      </w:r>
    </w:p>
    <w:p>
      <w:pPr>
        <w:jc w:val="left"/>
      </w:pPr>
      <w:r>
        <w:rPr>
          <w:color w:val="646464"/>
          <w:sz w:val="18"/>
        </w:rPr>
        <w:t>```</w:t>
      </w:r>
    </w:p>
    <w:p>
      <w:r>
        <w:rPr>
          <w:rFonts w:ascii="Consolas" w:hAnsi="Consolas"/>
          <w:sz w:val="18"/>
        </w:rPr>
        <w:t>┌──────────────────────────────────────────────────┐</w:t>
      </w:r>
    </w:p>
    <w:p>
      <w:r>
        <w:rPr>
          <w:rFonts w:ascii="Consolas" w:hAnsi="Consolas"/>
          <w:sz w:val="18"/>
        </w:rPr>
        <w:t>│              伊吾 · 资源转化型                       │</w:t>
      </w:r>
    </w:p>
    <w:p>
      <w:r>
        <w:rPr>
          <w:rFonts w:ascii="Consolas" w:hAnsi="Consolas"/>
          <w:sz w:val="18"/>
        </w:rPr>
        <w:t>├──────────────────────────────────────────────────┤</w:t>
      </w:r>
    </w:p>
    <w:p>
      <w:r>
        <w:rPr>
          <w:rFonts w:ascii="Consolas" w:hAnsi="Consolas"/>
          <w:sz w:val="18"/>
        </w:rPr>
        <w:t>│ 基本定位                                          │</w:t>
      </w:r>
    </w:p>
    <w:p>
      <w:r>
        <w:rPr>
          <w:rFonts w:ascii="Consolas" w:hAnsi="Consolas"/>
          <w:sz w:val="18"/>
        </w:rPr>
        <w:t>│   行政级别：县级（属哈密市）                          │</w:t>
      </w:r>
    </w:p>
    <w:p>
      <w:r>
        <w:rPr>
          <w:rFonts w:ascii="Consolas" w:hAnsi="Consolas"/>
          <w:sz w:val="18"/>
        </w:rPr>
        <w:t>│   定位：算力创新示范区 + "疆算入渝"核心枢纽             │</w:t>
      </w:r>
    </w:p>
    <w:p>
      <w:r>
        <w:rPr>
          <w:rFonts w:ascii="Consolas" w:hAnsi="Consolas"/>
          <w:sz w:val="18"/>
        </w:rPr>
        <w:t>│   路径类型：资源转化型                               │</w:t>
      </w:r>
    </w:p>
    <w:p>
      <w:r>
        <w:rPr>
          <w:rFonts w:ascii="Consolas" w:hAnsi="Consolas"/>
          <w:sz w:val="18"/>
        </w:rPr>
        <w:t>│   政府角色：跨区域平台搭建者（聚焦硬基建+要素直供）       │</w:t>
      </w:r>
    </w:p>
    <w:p>
      <w:r>
        <w:rPr>
          <w:rFonts w:ascii="Consolas" w:hAnsi="Consolas"/>
          <w:sz w:val="18"/>
        </w:rPr>
        <w:t>│                                                   │</w:t>
      </w:r>
    </w:p>
    <w:p>
      <w:r>
        <w:rPr>
          <w:rFonts w:ascii="Consolas" w:hAnsi="Consolas"/>
          <w:sz w:val="18"/>
        </w:rPr>
        <w:t>│ 核心数据                                          │</w:t>
      </w:r>
    </w:p>
    <w:p>
      <w:r>
        <w:rPr>
          <w:rFonts w:ascii="Consolas" w:hAnsi="Consolas"/>
          <w:sz w:val="18"/>
        </w:rPr>
        <w:t>│   算力规模：超过20,000P已正式投运（2026年） [🆕 网上核实] │</w:t>
      </w:r>
    </w:p>
    <w:p>
      <w:r>
        <w:rPr>
          <w:rFonts w:ascii="Consolas" w:hAnsi="Consolas"/>
          <w:sz w:val="18"/>
        </w:rPr>
        <w:t>│   规划算力：40,000P（2026年底目标）/ 7万P（远期）      │</w:t>
      </w:r>
    </w:p>
    <w:p>
      <w:r>
        <w:rPr>
          <w:rFonts w:ascii="Consolas" w:hAnsi="Consolas"/>
          <w:sz w:val="18"/>
        </w:rPr>
        <w:t>│   入驻企业：19家 [🆕 网上核实确认]                      │</w:t>
      </w:r>
    </w:p>
    <w:p>
      <w:r>
        <w:rPr>
          <w:rFonts w:ascii="Consolas" w:hAnsi="Consolas"/>
          <w:sz w:val="18"/>
        </w:rPr>
        <w:t>│   累计营收：约1.9亿元                                │</w:t>
      </w:r>
    </w:p>
    <w:p>
      <w:r>
        <w:rPr>
          <w:rFonts w:ascii="Consolas" w:hAnsi="Consolas"/>
          <w:sz w:val="18"/>
        </w:rPr>
        <w:t>│   一般公共预算收入：38.13亿元（2024年） [🆕 网上核实]    │</w:t>
      </w:r>
    </w:p>
    <w:p>
      <w:r>
        <w:rPr>
          <w:rFonts w:ascii="Consolas" w:hAnsi="Consolas"/>
          <w:sz w:val="18"/>
        </w:rPr>
        <w:t>│                                                   │</w:t>
      </w:r>
    </w:p>
    <w:p>
      <w:r>
        <w:rPr>
          <w:rFonts w:ascii="Consolas" w:hAnsi="Consolas"/>
          <w:sz w:val="18"/>
        </w:rPr>
        <w:t>│ 成本与效率数据                                      │</w:t>
      </w:r>
    </w:p>
    <w:p>
      <w:r>
        <w:rPr>
          <w:rFonts w:ascii="Consolas" w:hAnsi="Consolas"/>
          <w:sz w:val="18"/>
        </w:rPr>
        <w:t>│   绿电价格：&lt;0.30元/度                              │</w:t>
      </w:r>
    </w:p>
    <w:p>
      <w:r>
        <w:rPr>
          <w:rFonts w:ascii="Consolas" w:hAnsi="Consolas"/>
          <w:sz w:val="18"/>
        </w:rPr>
        <w:t>│   PUE：1.15-1.2（自然风冷+间接蒸发）                  │</w:t>
      </w:r>
    </w:p>
    <w:p>
      <w:r>
        <w:rPr>
          <w:rFonts w:ascii="Consolas" w:hAnsi="Consolas"/>
          <w:sz w:val="18"/>
        </w:rPr>
        <w:t>│   冷却能耗：较传统数据中心降低60%+                     │</w:t>
      </w:r>
    </w:p>
    <w:p>
      <w:r>
        <w:rPr>
          <w:rFonts w:ascii="Consolas" w:hAnsi="Consolas"/>
          <w:sz w:val="18"/>
        </w:rPr>
        <w:t>│   综合成本：约为东部地区的50%（电力+冷却+传输+土地）      │</w:t>
      </w:r>
    </w:p>
    <w:p>
      <w:r>
        <w:rPr>
          <w:rFonts w:ascii="Consolas" w:hAnsi="Consolas"/>
          <w:sz w:val="18"/>
        </w:rPr>
        <w:t>│                                                   │</w:t>
      </w:r>
    </w:p>
    <w:p>
      <w:r>
        <w:rPr>
          <w:rFonts w:ascii="Consolas" w:hAnsi="Consolas"/>
          <w:sz w:val="18"/>
        </w:rPr>
        <w:t>│ 基础设施投入                                        │</w:t>
      </w:r>
    </w:p>
    <w:p>
      <w:r>
        <w:rPr>
          <w:rFonts w:ascii="Consolas" w:hAnsi="Consolas"/>
          <w:sz w:val="18"/>
        </w:rPr>
        <w:t>│   220kV输变电工程：3.8亿元                           │</w:t>
      </w:r>
    </w:p>
    <w:p>
      <w:r>
        <w:rPr>
          <w:rFonts w:ascii="Consolas" w:hAnsi="Consolas"/>
          <w:sz w:val="18"/>
        </w:rPr>
        <w:t>│   三网合一工程：0.97亿元                             │</w:t>
      </w:r>
    </w:p>
    <w:p>
      <w:r>
        <w:rPr>
          <w:rFonts w:ascii="Consolas" w:hAnsi="Consolas"/>
          <w:sz w:val="18"/>
        </w:rPr>
        <w:t>│   产业用地：1400亩整体划拨 [🆕 网上核实确认]             │</w:t>
      </w:r>
    </w:p>
    <w:p>
      <w:r>
        <w:rPr>
          <w:rFonts w:ascii="Consolas" w:hAnsi="Consolas"/>
          <w:sz w:val="18"/>
        </w:rPr>
        <w:t>│                                                   │</w:t>
      </w:r>
    </w:p>
    <w:p>
      <w:r>
        <w:rPr>
          <w:rFonts w:ascii="Consolas" w:hAnsi="Consolas"/>
          <w:sz w:val="18"/>
        </w:rPr>
        <w:t>│ 跨域通道                                           │</w:t>
      </w:r>
    </w:p>
    <w:p>
      <w:r>
        <w:rPr>
          <w:rFonts w:ascii="Consolas" w:hAnsi="Consolas"/>
          <w:sz w:val="18"/>
        </w:rPr>
        <w:t>│   传输距离：约4000km（伊吾→重庆，往返距离6400km）[🆕 更新] │</w:t>
      </w:r>
    </w:p>
    <w:p>
      <w:r>
        <w:rPr>
          <w:rFonts w:ascii="Consolas" w:hAnsi="Consolas"/>
          <w:sz w:val="18"/>
        </w:rPr>
        <w:t>│   传输时延：&lt;35ms（V2V非IP协议） [🆕 核实："国产V2V自主可控协议体系"] │</w:t>
      </w:r>
    </w:p>
    <w:p>
      <w:r>
        <w:rPr>
          <w:rFonts w:ascii="Consolas" w:hAnsi="Consolas"/>
          <w:sz w:val="18"/>
        </w:rPr>
        <w:t>│   对接市场："疆算入渝"工程，2000P算力已交付重庆          │</w:t>
      </w:r>
    </w:p>
    <w:p>
      <w:r>
        <w:rPr>
          <w:rFonts w:ascii="Consolas" w:hAnsi="Consolas"/>
          <w:sz w:val="18"/>
        </w:rPr>
        <w:t>│                                                   │</w:t>
      </w:r>
    </w:p>
    <w:p>
      <w:r>
        <w:rPr>
          <w:rFonts w:ascii="Consolas" w:hAnsi="Consolas"/>
          <w:sz w:val="18"/>
        </w:rPr>
        <w:t>│ 政策特征                                           │</w:t>
      </w:r>
    </w:p>
    <w:p>
      <w:r>
        <w:rPr>
          <w:rFonts w:ascii="Consolas" w:hAnsi="Consolas"/>
          <w:sz w:val="18"/>
        </w:rPr>
        <w:t>│   补贴策略：零直接企业补贴                             │</w:t>
      </w:r>
    </w:p>
    <w:p>
      <w:r>
        <w:rPr>
          <w:rFonts w:ascii="Consolas" w:hAnsi="Consolas"/>
          <w:sz w:val="18"/>
        </w:rPr>
        <w:t>│   产业基金：无                                      │</w:t>
      </w:r>
    </w:p>
    <w:p>
      <w:r>
        <w:rPr>
          <w:rFonts w:ascii="Consolas" w:hAnsi="Consolas"/>
          <w:sz w:val="18"/>
        </w:rPr>
        <w:t>│   算力券：无                                       │</w:t>
      </w:r>
    </w:p>
    <w:p>
      <w:r>
        <w:rPr>
          <w:rFonts w:ascii="Consolas" w:hAnsi="Consolas"/>
          <w:sz w:val="18"/>
        </w:rPr>
        <w:t>│   贷款贴息：无                                      │</w:t>
      </w:r>
    </w:p>
    <w:p>
      <w:r>
        <w:rPr>
          <w:rFonts w:ascii="Consolas" w:hAnsi="Consolas"/>
          <w:sz w:val="18"/>
        </w:rPr>
        <w:t>│   核心理念：不出钱，靠要素成本优势                     │</w:t>
      </w:r>
    </w:p>
    <w:p>
      <w:r>
        <w:rPr>
          <w:rFonts w:ascii="Consolas" w:hAnsi="Consolas"/>
          <w:sz w:val="18"/>
        </w:rPr>
        <w:t>│                                                   │</w:t>
      </w:r>
    </w:p>
    <w:p>
      <w:r>
        <w:rPr>
          <w:rFonts w:ascii="Consolas" w:hAnsi="Consolas"/>
          <w:sz w:val="18"/>
        </w:rPr>
        <w:t>│ 重点项目                                           │</w:t>
      </w:r>
    </w:p>
    <w:p>
      <w:r>
        <w:rPr>
          <w:rFonts w:ascii="Consolas" w:hAnsi="Consolas"/>
          <w:sz w:val="18"/>
        </w:rPr>
        <w:t>│   天山智谷绿色算力基地：规划6万P，总投资超百亿            │</w:t>
      </w:r>
    </w:p>
    <w:p>
      <w:r>
        <w:rPr>
          <w:rFonts w:ascii="Consolas" w:hAnsi="Consolas"/>
          <w:sz w:val="18"/>
        </w:rPr>
        <w:t>│   中国移动-阿里云联合智算中心：一期5000P                │</w:t>
      </w:r>
    </w:p>
    <w:p>
      <w:r>
        <w:rPr>
          <w:rFonts w:ascii="Consolas" w:hAnsi="Consolas"/>
          <w:sz w:val="18"/>
        </w:rPr>
        <w:t>└──────────────────────────────────────────────────┘</w:t>
      </w:r>
    </w:p>
    <w:p>
      <w:pPr>
        <w:jc w:val="left"/>
      </w:pPr>
      <w:r>
        <w:rPr>
          <w:color w:val="646464"/>
          <w:sz w:val="18"/>
        </w:rPr>
      </w:r>
    </w:p>
    <w:p>
      <w:pPr>
        <w:pStyle w:val="Heading3"/>
      </w:pPr>
      <w:r>
        <w:t>3.3 双城对比数据（完整对照表）</w:t>
      </w:r>
    </w:p>
    <w:p>
      <w:r>
        <w:t>| 维度 | 克拉玛依 | 伊吾 |</w:t>
      </w:r>
    </w:p>
    <w:p>
      <w:r>
        <w:t>|------|---------|------|</w:t>
      </w:r>
    </w:p>
    <w:p>
      <w:r>
        <w:t>| **行政层级** | 地级市 | 县级 |</w:t>
      </w:r>
    </w:p>
    <w:p>
      <w:r>
        <w:t>| **财政能力** | 强（一般公共预算收入约120亿/年） | 中（一般公共预算收入38.13亿/年）[🆕] |</w:t>
      </w:r>
    </w:p>
    <w:p>
      <w:r>
        <w:t>| **产业基础** | 180+家企业 | 约19家企业 [🆕网上核实] |</w:t>
      </w:r>
    </w:p>
    <w:p>
      <w:r>
        <w:t>| **数字经济产值** | 15.06亿（GDP占比35%） | 约1.9亿 |</w:t>
      </w:r>
    </w:p>
    <w:p>
      <w:r>
        <w:t>| **当前算力** | 17,000P（智能算力）[🆕] | 20,000P+投运 [🆕] |</w:t>
      </w:r>
    </w:p>
    <w:p>
      <w:r>
        <w:t>| **规划算力** | 10万P | 4万P（2026）/ 7万P（远期） |</w:t>
      </w:r>
    </w:p>
    <w:p>
      <w:r>
        <w:t>| **绿电价格** | 0.05-0.06元/度 | &lt;0.3元/度 |</w:t>
      </w:r>
    </w:p>
    <w:p>
      <w:r>
        <w:t>| **PUE** | 1.08（碳和液冷）[🆕] | 1.15-1.2（自然风冷+间接蒸发） |</w:t>
      </w:r>
    </w:p>
    <w:p>
      <w:r>
        <w:t>| **冷却方式** | 碳和液冷 [🆕] | 自然风冷+间接蒸发 |</w:t>
      </w:r>
    </w:p>
    <w:p>
      <w:r>
        <w:t>| **数据中心** | 6座大型，6.5万标准机柜 [🆕] | 天山智谷+阿里云联合中心 |</w:t>
      </w:r>
    </w:p>
    <w:p>
      <w:r>
        <w:t>| **产业基金** | 50亿 | 无 |</w:t>
      </w:r>
    </w:p>
    <w:p>
      <w:r>
        <w:t>| **算力券** | 1000万元/年 | 无 |</w:t>
      </w:r>
    </w:p>
    <w:p>
      <w:r>
        <w:t>| **传输时延** | &lt;50ms至一线城市 | &lt;35ms至重庆（约4000km） |</w:t>
      </w:r>
    </w:p>
    <w:p>
      <w:r>
        <w:t>| **园区面积** | 15.09平方公里（22,635亩）[🆕] | 1400亩 |</w:t>
      </w:r>
    </w:p>
    <w:p>
      <w:r>
        <w:t>| **政府角色** | 全链条生态培育者 | 跨区域平台搭建者 |</w:t>
      </w:r>
    </w:p>
    <w:p>
      <w:r>
        <w:t>| **招商策略** | 产业链招商+场景开放 | 要素成本驱动+跨省对接 |</w:t>
      </w:r>
    </w:p>
    <w:p>
      <w:r>
        <w:t>| **起步条件** | 有工业数字化基础 | 数字产业几乎空白 |</w:t>
      </w:r>
    </w:p>
    <w:p>
      <w:r>
        <w:t>| **发展特征** | 阶梯式稳健爬坡 | 爆发式跳跃增长 |</w:t>
      </w:r>
    </w:p>
    <w:p>
      <w:r>
        <w:t>――――――――――――――――――――――――――――――</w:t>
      </w:r>
    </w:p>
    <w:p>
      <w:pPr>
        <w:pStyle w:val="Heading2"/>
      </w:pPr>
      <w:r>
        <w:t>四、宏观背景数据素材（网页背景/引言区内容）</w:t>
      </w:r>
    </w:p>
    <w:p>
      <w:pPr>
        <w:pStyle w:val="Heading3"/>
      </w:pPr>
      <w:r>
        <w:t>4.1 全球算力趋势</w:t>
      </w:r>
    </w:p>
    <w:p>
      <w:pPr>
        <w:jc w:val="left"/>
      </w:pPr>
      <w:r>
        <w:rPr>
          <w:color w:val="646464"/>
          <w:sz w:val="18"/>
        </w:rPr>
        <w:t>```</w:t>
      </w:r>
    </w:p>
    <w:p>
      <w:r>
        <w:rPr>
          <w:rFonts w:ascii="Consolas" w:hAnsi="Consolas"/>
          <w:sz w:val="18"/>
        </w:rPr>
        <w:t>全球AI算力规模：</w:t>
      </w:r>
    </w:p>
    <w:p>
      <w:r>
        <w:rPr>
          <w:rFonts w:ascii="Consolas" w:hAnsi="Consolas"/>
          <w:sz w:val="18"/>
        </w:rPr>
        <w:t xml:space="preserve">  2020年：2.15 EFLOPS</w:t>
      </w:r>
    </w:p>
    <w:p>
      <w:r>
        <w:rPr>
          <w:rFonts w:ascii="Consolas" w:hAnsi="Consolas"/>
          <w:sz w:val="18"/>
        </w:rPr>
        <w:t xml:space="preserve">  2025年（预测）：1590 EFLOPS</w:t>
      </w:r>
    </w:p>
    <w:p>
      <w:r>
        <w:rPr>
          <w:rFonts w:ascii="Consolas" w:hAnsi="Consolas"/>
          <w:sz w:val="18"/>
        </w:rPr>
        <w:t xml:space="preserve">  增长倍数：约740倍</w:t>
      </w:r>
    </w:p>
    <w:p>
      <w:r>
        <w:rPr>
          <w:rFonts w:ascii="Consolas" w:hAnsi="Consolas"/>
          <w:sz w:val="18"/>
        </w:rPr>
      </w:r>
    </w:p>
    <w:p>
      <w:r>
        <w:rPr>
          <w:rFonts w:ascii="Consolas" w:hAnsi="Consolas"/>
          <w:sz w:val="18"/>
        </w:rPr>
        <w:t>数据来源：中国信通院《先进计算蓝皮书2024》[A]</w:t>
      </w:r>
    </w:p>
    <w:p>
      <w:pPr>
        <w:jc w:val="left"/>
      </w:pPr>
      <w:r>
        <w:rPr>
          <w:color w:val="646464"/>
          <w:sz w:val="18"/>
        </w:rPr>
      </w:r>
    </w:p>
    <w:p>
      <w:pPr>
        <w:pStyle w:val="Heading3"/>
      </w:pPr>
      <w:r>
        <w:t>4.2 中国算力趋势</w:t>
      </w:r>
    </w:p>
    <w:p>
      <w:pPr>
        <w:jc w:val="left"/>
      </w:pPr>
      <w:r>
        <w:rPr>
          <w:color w:val="646464"/>
          <w:sz w:val="18"/>
        </w:rPr>
        <w:t>```</w:t>
      </w:r>
    </w:p>
    <w:p>
      <w:r>
        <w:rPr>
          <w:rFonts w:ascii="Consolas" w:hAnsi="Consolas"/>
          <w:sz w:val="18"/>
        </w:rPr>
        <w:t>全国算力设施用电量：</w:t>
      </w:r>
    </w:p>
    <w:p>
      <w:r>
        <w:rPr>
          <w:rFonts w:ascii="Consolas" w:hAnsi="Consolas"/>
          <w:sz w:val="18"/>
        </w:rPr>
        <w:t xml:space="preserve">  2020年：720亿千瓦时</w:t>
      </w:r>
    </w:p>
    <w:p>
      <w:r>
        <w:rPr>
          <w:rFonts w:ascii="Consolas" w:hAnsi="Consolas"/>
          <w:sz w:val="18"/>
        </w:rPr>
        <w:t xml:space="preserve">  2021年：850亿千瓦时</w:t>
      </w:r>
    </w:p>
    <w:p>
      <w:r>
        <w:rPr>
          <w:rFonts w:ascii="Consolas" w:hAnsi="Consolas"/>
          <w:sz w:val="18"/>
        </w:rPr>
        <w:t xml:space="preserve">  2022年：1,050亿千瓦时</w:t>
      </w:r>
    </w:p>
    <w:p>
      <w:r>
        <w:rPr>
          <w:rFonts w:ascii="Consolas" w:hAnsi="Consolas"/>
          <w:sz w:val="18"/>
        </w:rPr>
        <w:t xml:space="preserve">  2023年：1,350亿千瓦时</w:t>
      </w:r>
    </w:p>
    <w:p>
      <w:r>
        <w:rPr>
          <w:rFonts w:ascii="Consolas" w:hAnsi="Consolas"/>
          <w:sz w:val="18"/>
        </w:rPr>
        <w:t xml:space="preserve">  2024年：1,660亿千瓦时</w:t>
      </w:r>
    </w:p>
    <w:p>
      <w:r>
        <w:rPr>
          <w:rFonts w:ascii="Consolas" w:hAnsi="Consolas"/>
          <w:sz w:val="18"/>
        </w:rPr>
        <w:t xml:space="preserve">  年均增速：&gt;10%</w:t>
      </w:r>
    </w:p>
    <w:p>
      <w:r>
        <w:rPr>
          <w:rFonts w:ascii="Consolas" w:hAnsi="Consolas"/>
          <w:sz w:val="18"/>
        </w:rPr>
      </w:r>
    </w:p>
    <w:p>
      <w:r>
        <w:rPr>
          <w:rFonts w:ascii="Consolas" w:hAnsi="Consolas"/>
          <w:sz w:val="18"/>
        </w:rPr>
        <w:t>数据来源：中国信通院年度报告 [A]</w:t>
      </w:r>
    </w:p>
    <w:p>
      <w:pPr>
        <w:jc w:val="left"/>
      </w:pPr>
      <w:r>
        <w:rPr>
          <w:color w:val="646464"/>
          <w:sz w:val="18"/>
        </w:rPr>
      </w:r>
    </w:p>
    <w:p>
      <w:pPr>
        <w:pStyle w:val="Heading3"/>
      </w:pPr>
      <w:r>
        <w:t>4.3 算力结构变迁（智能算力占比）</w:t>
      </w:r>
    </w:p>
    <w:p>
      <w:pPr>
        <w:jc w:val="left"/>
      </w:pPr>
      <w:r>
        <w:rPr>
          <w:color w:val="646464"/>
          <w:sz w:val="18"/>
        </w:rPr>
        <w:t>```</w:t>
      </w:r>
    </w:p>
    <w:p>
      <w:r>
        <w:rPr>
          <w:rFonts w:ascii="Consolas" w:hAnsi="Consolas"/>
          <w:sz w:val="18"/>
        </w:rPr>
        <w:t>中国算力结构"智算化"进程：</w:t>
      </w:r>
    </w:p>
    <w:p>
      <w:r>
        <w:rPr>
          <w:rFonts w:ascii="Consolas" w:hAnsi="Consolas"/>
          <w:sz w:val="18"/>
        </w:rPr>
        <w:t xml:space="preserve">  2020年：智能算力占15.6%，通用算力占84.4%</w:t>
      </w:r>
    </w:p>
    <w:p>
      <w:r>
        <w:rPr>
          <w:rFonts w:ascii="Consolas" w:hAnsi="Consolas"/>
          <w:sz w:val="18"/>
        </w:rPr>
        <w:t xml:space="preserve">  2021年：智能算力占22.0%，通用算力占78.0%</w:t>
      </w:r>
    </w:p>
    <w:p>
      <w:r>
        <w:rPr>
          <w:rFonts w:ascii="Consolas" w:hAnsi="Consolas"/>
          <w:sz w:val="18"/>
        </w:rPr>
        <w:t xml:space="preserve">  2022年：智能算力占32.0%，通用算力占68.0%</w:t>
      </w:r>
    </w:p>
    <w:p>
      <w:r>
        <w:rPr>
          <w:rFonts w:ascii="Consolas" w:hAnsi="Consolas"/>
          <w:sz w:val="18"/>
        </w:rPr>
        <w:t xml:space="preserve">  2023年：智能算力占45.0%，通用算力占55.0%</w:t>
      </w:r>
    </w:p>
    <w:p>
      <w:r>
        <w:rPr>
          <w:rFonts w:ascii="Consolas" w:hAnsi="Consolas"/>
          <w:sz w:val="18"/>
        </w:rPr>
        <w:t xml:space="preserve">  2024年：智能算力占58.0%，通用算力占42.0%</w:t>
      </w:r>
    </w:p>
    <w:p>
      <w:r>
        <w:rPr>
          <w:rFonts w:ascii="Consolas" w:hAnsi="Consolas"/>
          <w:sz w:val="18"/>
        </w:rPr>
        <w:t xml:space="preserve">  2025年（预测）：智能算力占72.5%，通用算力占27.5%</w:t>
      </w:r>
    </w:p>
    <w:p>
      <w:r>
        <w:rPr>
          <w:rFonts w:ascii="Consolas" w:hAnsi="Consolas"/>
          <w:sz w:val="18"/>
        </w:rPr>
      </w:r>
    </w:p>
    <w:p>
      <w:r>
        <w:rPr>
          <w:rFonts w:ascii="Consolas" w:hAnsi="Consolas"/>
          <w:sz w:val="18"/>
        </w:rPr>
        <w:t>数据来源：信通院《中国综合算力指数2024》[A]</w:t>
      </w:r>
    </w:p>
    <w:p>
      <w:pPr>
        <w:jc w:val="left"/>
      </w:pPr>
      <w:r>
        <w:rPr>
          <w:color w:val="646464"/>
          <w:sz w:val="18"/>
        </w:rPr>
      </w:r>
    </w:p>
    <w:p>
      <w:pPr>
        <w:pStyle w:val="Heading3"/>
      </w:pPr>
      <w:r>
        <w:t>4.4 PUE（能效比）对比</w:t>
      </w:r>
    </w:p>
    <w:p>
      <w:pPr>
        <w:jc w:val="left"/>
      </w:pPr>
      <w:r>
        <w:rPr>
          <w:color w:val="646464"/>
          <w:sz w:val="18"/>
        </w:rPr>
        <w:t>```</w:t>
      </w:r>
    </w:p>
    <w:p>
      <w:r>
        <w:rPr>
          <w:rFonts w:ascii="Consolas" w:hAnsi="Consolas"/>
          <w:sz w:val="18"/>
        </w:rPr>
        <w:t>各地区数据中心PUE对比：</w:t>
      </w:r>
    </w:p>
    <w:p>
      <w:r>
        <w:rPr>
          <w:rFonts w:ascii="Consolas" w:hAnsi="Consolas"/>
          <w:sz w:val="18"/>
        </w:rPr>
        <w:t xml:space="preserve">  克拉玛依：1.08（行业领先）</w:t>
      </w:r>
    </w:p>
    <w:p>
      <w:r>
        <w:rPr>
          <w:rFonts w:ascii="Consolas" w:hAnsi="Consolas"/>
          <w:sz w:val="18"/>
        </w:rPr>
        <w:t xml:space="preserve">  伊吾：1.15-1.2</w:t>
      </w:r>
    </w:p>
    <w:p>
      <w:r>
        <w:rPr>
          <w:rFonts w:ascii="Consolas" w:hAnsi="Consolas"/>
          <w:sz w:val="18"/>
        </w:rPr>
        <w:t xml:space="preserve">  新疆平均：1.08-1.2</w:t>
      </w:r>
    </w:p>
    <w:p>
      <w:r>
        <w:rPr>
          <w:rFonts w:ascii="Consolas" w:hAnsi="Consolas"/>
          <w:sz w:val="18"/>
        </w:rPr>
        <w:t xml:space="preserve">  西部平均：1.2-1.35</w:t>
      </w:r>
    </w:p>
    <w:p>
      <w:r>
        <w:rPr>
          <w:rFonts w:ascii="Consolas" w:hAnsi="Consolas"/>
          <w:sz w:val="18"/>
        </w:rPr>
        <w:t xml:space="preserve">  全国平均：约1.49</w:t>
      </w:r>
    </w:p>
    <w:p>
      <w:r>
        <w:rPr>
          <w:rFonts w:ascii="Consolas" w:hAnsi="Consolas"/>
          <w:sz w:val="18"/>
        </w:rPr>
        <w:t xml:space="preserve">  东部平均：1.5-1.8</w:t>
      </w:r>
    </w:p>
    <w:p>
      <w:r>
        <w:rPr>
          <w:rFonts w:ascii="Consolas" w:hAnsi="Consolas"/>
          <w:sz w:val="18"/>
        </w:rPr>
      </w:r>
    </w:p>
    <w:p>
      <w:r>
        <w:rPr>
          <w:rFonts w:ascii="Consolas" w:hAnsi="Consolas"/>
          <w:sz w:val="18"/>
        </w:rPr>
        <w:t>数据来源：信通院、中国IDC圈、新疆工信厅 [A/B]</w:t>
      </w:r>
    </w:p>
    <w:p>
      <w:pPr>
        <w:jc w:val="left"/>
      </w:pPr>
      <w:r>
        <w:rPr>
          <w:color w:val="646464"/>
          <w:sz w:val="18"/>
        </w:rPr>
      </w:r>
    </w:p>
    <w:p>
      <w:pPr>
        <w:pStyle w:val="Heading3"/>
      </w:pPr>
      <w:r>
        <w:t>4.5 "东数西算"政策背景</w:t>
      </w:r>
    </w:p>
    <w:p>
      <w:pPr>
        <w:jc w:val="left"/>
      </w:pPr>
      <w:r>
        <w:rPr>
          <w:color w:val="646464"/>
          <w:sz w:val="18"/>
        </w:rPr>
        <w:t>```</w:t>
      </w:r>
    </w:p>
    <w:p>
      <w:r>
        <w:rPr>
          <w:rFonts w:ascii="Consolas" w:hAnsi="Consolas"/>
          <w:sz w:val="18"/>
        </w:rPr>
        <w:t>关键时间节点：</w:t>
      </w:r>
    </w:p>
    <w:p>
      <w:r>
        <w:rPr>
          <w:rFonts w:ascii="Consolas" w:hAnsi="Consolas"/>
          <w:sz w:val="18"/>
        </w:rPr>
        <w:t xml:space="preserve">  2021年：全国一体化大数据中心协同创新体系发布</w:t>
      </w:r>
    </w:p>
    <w:p>
      <w:r>
        <w:rPr>
          <w:rFonts w:ascii="Consolas" w:hAnsi="Consolas"/>
          <w:sz w:val="18"/>
        </w:rPr>
        <w:t xml:space="preserve">  2022年2月："东数西算"工程全面启动（发改高技[2022]285号）</w:t>
      </w:r>
    </w:p>
    <w:p>
      <w:r>
        <w:rPr>
          <w:rFonts w:ascii="Consolas" w:hAnsi="Consolas"/>
          <w:sz w:val="18"/>
        </w:rPr>
        <w:t xml:space="preserve">  2023年：新疆算力枢纽规划落地</w:t>
      </w:r>
    </w:p>
    <w:p>
      <w:r>
        <w:rPr>
          <w:rFonts w:ascii="Consolas" w:hAnsi="Consolas"/>
          <w:sz w:val="18"/>
        </w:rPr>
        <w:t xml:space="preserve">  2024年：双城重点项目密集开工</w:t>
      </w:r>
    </w:p>
    <w:p>
      <w:r>
        <w:rPr>
          <w:rFonts w:ascii="Consolas" w:hAnsi="Consolas"/>
          <w:sz w:val="18"/>
        </w:rPr>
        <w:t xml:space="preserve">  2025年：规模化交付</w:t>
      </w:r>
    </w:p>
    <w:p>
      <w:r>
        <w:rPr>
          <w:rFonts w:ascii="Consolas" w:hAnsi="Consolas"/>
          <w:sz w:val="18"/>
        </w:rPr>
      </w:r>
    </w:p>
    <w:p>
      <w:r>
        <w:rPr>
          <w:rFonts w:ascii="Consolas" w:hAnsi="Consolas"/>
          <w:sz w:val="18"/>
        </w:rPr>
        <w:t>政策文件数量：12份（国家+新疆+双城）</w:t>
      </w:r>
    </w:p>
    <w:p>
      <w:r>
        <w:rPr>
          <w:rFonts w:ascii="Consolas" w:hAnsi="Consolas"/>
          <w:sz w:val="18"/>
        </w:rPr>
      </w:r>
    </w:p>
    <w:p>
      <w:r>
        <w:rPr>
          <w:rFonts w:ascii="Consolas" w:hAnsi="Consolas"/>
          <w:sz w:val="18"/>
        </w:rPr>
        <w:t>数据来源：国家发改委公告 [A]</w:t>
      </w:r>
    </w:p>
    <w:p>
      <w:pPr>
        <w:jc w:val="left"/>
      </w:pPr>
      <w:r>
        <w:rPr>
          <w:color w:val="646464"/>
          <w:sz w:val="18"/>
        </w:rPr>
      </w:r>
    </w:p>
    <w:p>
      <w:pPr>
        <w:pStyle w:val="Heading3"/>
      </w:pPr>
      <w:r>
        <w:t>4.6 新疆整体数据</w:t>
      </w:r>
    </w:p>
    <w:p>
      <w:pPr>
        <w:jc w:val="left"/>
      </w:pPr>
      <w:r>
        <w:rPr>
          <w:color w:val="646464"/>
          <w:sz w:val="18"/>
        </w:rPr>
        <w:t>```</w:t>
      </w:r>
    </w:p>
    <w:p>
      <w:r>
        <w:rPr>
          <w:rFonts w:ascii="Consolas" w:hAnsi="Consolas"/>
          <w:sz w:val="18"/>
        </w:rPr>
        <w:t>新疆算力产业概况：</w:t>
      </w:r>
    </w:p>
    <w:p>
      <w:r>
        <w:rPr>
          <w:rFonts w:ascii="Consolas" w:hAnsi="Consolas"/>
          <w:sz w:val="18"/>
        </w:rPr>
        <w:t xml:space="preserve">  新疆算力规模（2024）：2.4万P</w:t>
      </w:r>
    </w:p>
    <w:p>
      <w:r>
        <w:rPr>
          <w:rFonts w:ascii="Consolas" w:hAnsi="Consolas"/>
          <w:sz w:val="18"/>
        </w:rPr>
        <w:t xml:space="preserve">  年增速：同比增长超200%</w:t>
      </w:r>
    </w:p>
    <w:p>
      <w:r>
        <w:rPr>
          <w:rFonts w:ascii="Consolas" w:hAnsi="Consolas"/>
          <w:sz w:val="18"/>
        </w:rPr>
        <w:t xml:space="preserve">  算力格局："双核引领、多点支撑"（克拉玛依+伊吾）</w:t>
      </w:r>
    </w:p>
    <w:p>
      <w:r>
        <w:rPr>
          <w:rFonts w:ascii="Consolas" w:hAnsi="Consolas"/>
          <w:sz w:val="18"/>
        </w:rPr>
        <w:t xml:space="preserve">  新能源装机总量（2024）：突破1亿千瓦</w:t>
      </w:r>
    </w:p>
    <w:p>
      <w:r>
        <w:rPr>
          <w:rFonts w:ascii="Consolas" w:hAnsi="Consolas"/>
          <w:sz w:val="18"/>
        </w:rPr>
        <w:t xml:space="preserve">  新能源占比：50%以上</w:t>
      </w:r>
    </w:p>
    <w:p>
      <w:r>
        <w:rPr>
          <w:rFonts w:ascii="Consolas" w:hAnsi="Consolas"/>
          <w:sz w:val="18"/>
        </w:rPr>
        <w:t xml:space="preserve">  2035年目标：3.2亿千瓦</w:t>
      </w:r>
    </w:p>
    <w:p>
      <w:r>
        <w:rPr>
          <w:rFonts w:ascii="Consolas" w:hAnsi="Consolas"/>
          <w:sz w:val="18"/>
        </w:rPr>
        <w:t xml:space="preserve">  工业电价：约为上海的一半</w:t>
      </w:r>
    </w:p>
    <w:p>
      <w:r>
        <w:rPr>
          <w:rFonts w:ascii="Consolas" w:hAnsi="Consolas"/>
          <w:sz w:val="18"/>
        </w:rPr>
        <w:t xml:space="preserve">  用地价格：工业基准价的30%以下</w:t>
      </w:r>
    </w:p>
    <w:p>
      <w:r>
        <w:rPr>
          <w:rFonts w:ascii="Consolas" w:hAnsi="Consolas"/>
          <w:sz w:val="18"/>
        </w:rPr>
      </w:r>
    </w:p>
    <w:p>
      <w:r>
        <w:rPr>
          <w:rFonts w:ascii="Consolas" w:hAnsi="Consolas"/>
          <w:sz w:val="18"/>
        </w:rPr>
        <w:t>数据来源：新疆统计局、新疆发改委、国家能源局 [A/B]</w:t>
      </w:r>
    </w:p>
    <w:p>
      <w:pPr>
        <w:jc w:val="left"/>
      </w:pPr>
      <w:r>
        <w:rPr>
          <w:color w:val="646464"/>
          <w:sz w:val="18"/>
        </w:rPr>
      </w:r>
    </w:p>
    <w:p>
      <w:r>
        <w:t>――――――――――――――――――――――――――――――</w:t>
      </w:r>
    </w:p>
    <w:p>
      <w:pPr>
        <w:pStyle w:val="Heading2"/>
      </w:pPr>
      <w:r>
        <w:t>五、中观经济学理论素材（网页理论说明区内容）</w:t>
      </w:r>
    </w:p>
    <w:p>
      <w:pPr>
        <w:pStyle w:val="Heading3"/>
      </w:pPr>
      <w:r>
        <w:t>5.1 中观经济学"四维模型"</w:t>
      </w:r>
    </w:p>
    <w:p>
      <w:pPr>
        <w:jc w:val="left"/>
      </w:pPr>
      <w:r>
        <w:rPr>
          <w:color w:val="646464"/>
          <w:sz w:val="18"/>
        </w:rPr>
        <w:t>```</w:t>
      </w:r>
    </w:p>
    <w:p>
      <w:r>
        <w:rPr>
          <w:rFonts w:ascii="Consolas" w:hAnsi="Consolas"/>
          <w:sz w:val="18"/>
        </w:rPr>
        <w:t>维度一：资源转化</w:t>
      </w:r>
    </w:p>
    <w:p>
      <w:r>
        <w:rPr>
          <w:rFonts w:ascii="Consolas" w:hAnsi="Consolas"/>
          <w:sz w:val="18"/>
        </w:rPr>
        <w:t xml:space="preserve">  核心问题：如何将自然资源转化为企业可用的生产要素？</w:t>
      </w:r>
    </w:p>
    <w:p>
      <w:r>
        <w:rPr>
          <w:rFonts w:ascii="Consolas" w:hAnsi="Consolas"/>
          <w:sz w:val="18"/>
        </w:rPr>
        <w:t xml:space="preserve">  关键动作：绿电直供、自然冷却利用、土地保障、算电协同</w:t>
      </w:r>
    </w:p>
    <w:p>
      <w:r>
        <w:rPr>
          <w:rFonts w:ascii="Consolas" w:hAnsi="Consolas"/>
          <w:sz w:val="18"/>
        </w:rPr>
        <w:t xml:space="preserve">  反面情况：资源禀赋不会自动变成产业优势，需要政府组织</w:t>
      </w:r>
    </w:p>
    <w:p>
      <w:r>
        <w:rPr>
          <w:rFonts w:ascii="Consolas" w:hAnsi="Consolas"/>
          <w:sz w:val="18"/>
        </w:rPr>
      </w:r>
    </w:p>
    <w:p>
      <w:r>
        <w:rPr>
          <w:rFonts w:ascii="Consolas" w:hAnsi="Consolas"/>
          <w:sz w:val="18"/>
        </w:rPr>
        <w:t>维度二：公共支撑</w:t>
      </w:r>
    </w:p>
    <w:p>
      <w:r>
        <w:rPr>
          <w:rFonts w:ascii="Consolas" w:hAnsi="Consolas"/>
          <w:sz w:val="18"/>
        </w:rPr>
        <w:t xml:space="preserve">  核心问题：企业不愿或不能独立完成的基础设施谁来建？</w:t>
      </w:r>
    </w:p>
    <w:p>
      <w:r>
        <w:rPr>
          <w:rFonts w:ascii="Consolas" w:hAnsi="Consolas"/>
          <w:sz w:val="18"/>
        </w:rPr>
        <w:t xml:space="preserve">  关键动作：输变电工程、网络通道、产业园区、公共算力平台</w:t>
      </w:r>
    </w:p>
    <w:p>
      <w:r>
        <w:rPr>
          <w:rFonts w:ascii="Consolas" w:hAnsi="Consolas"/>
          <w:sz w:val="18"/>
        </w:rPr>
        <w:t xml:space="preserve">  反面情况：算力产业重资产、长周期，全靠市场进度太慢</w:t>
      </w:r>
    </w:p>
    <w:p>
      <w:r>
        <w:rPr>
          <w:rFonts w:ascii="Consolas" w:hAnsi="Consolas"/>
          <w:sz w:val="18"/>
        </w:rPr>
      </w:r>
    </w:p>
    <w:p>
      <w:r>
        <w:rPr>
          <w:rFonts w:ascii="Consolas" w:hAnsi="Consolas"/>
          <w:sz w:val="18"/>
        </w:rPr>
        <w:t>维度三：生态构建</w:t>
      </w:r>
    </w:p>
    <w:p>
      <w:r>
        <w:rPr>
          <w:rFonts w:ascii="Consolas" w:hAnsi="Consolas"/>
          <w:sz w:val="18"/>
        </w:rPr>
        <w:t xml:space="preserve">  核心问题：如何从"有规模"进化到"有生态"？</w:t>
      </w:r>
    </w:p>
    <w:p>
      <w:r>
        <w:rPr>
          <w:rFonts w:ascii="Consolas" w:hAnsi="Consolas"/>
          <w:sz w:val="18"/>
        </w:rPr>
        <w:t xml:space="preserve">  关键动作：产业基金、算力券、场景开放、产业链招商、人才引育</w:t>
      </w:r>
    </w:p>
    <w:p>
      <w:r>
        <w:rPr>
          <w:rFonts w:ascii="Consolas" w:hAnsi="Consolas"/>
          <w:sz w:val="18"/>
        </w:rPr>
        <w:t xml:space="preserve">  反面情况：只扩张规模不建生态会陷入低价竞争</w:t>
      </w:r>
    </w:p>
    <w:p>
      <w:r>
        <w:rPr>
          <w:rFonts w:ascii="Consolas" w:hAnsi="Consolas"/>
          <w:sz w:val="18"/>
        </w:rPr>
      </w:r>
    </w:p>
    <w:p>
      <w:r>
        <w:rPr>
          <w:rFonts w:ascii="Consolas" w:hAnsi="Consolas"/>
          <w:sz w:val="18"/>
        </w:rPr>
        <w:t>维度四：政府角色演进</w:t>
      </w:r>
    </w:p>
    <w:p>
      <w:r>
        <w:rPr>
          <w:rFonts w:ascii="Consolas" w:hAnsi="Consolas"/>
          <w:sz w:val="18"/>
        </w:rPr>
        <w:t xml:space="preserve">  核心问题：政府在产业发展不同阶段应该做什么？</w:t>
      </w:r>
    </w:p>
    <w:p>
      <w:r>
        <w:rPr>
          <w:rFonts w:ascii="Consolas" w:hAnsi="Consolas"/>
          <w:sz w:val="18"/>
        </w:rPr>
        <w:t xml:space="preserve">  四阶段演进：</w:t>
      </w:r>
    </w:p>
    <w:p>
      <w:r>
        <w:rPr>
          <w:rFonts w:ascii="Consolas" w:hAnsi="Consolas"/>
          <w:sz w:val="18"/>
        </w:rPr>
        <w:t xml:space="preserve">    资源组织者（起步期：识别优势、要素保障）</w:t>
      </w:r>
    </w:p>
    <w:p>
      <w:r>
        <w:rPr>
          <w:rFonts w:ascii="Consolas" w:hAnsi="Consolas"/>
          <w:sz w:val="18"/>
        </w:rPr>
        <w:t xml:space="preserve">  → 平台搭建者（启动期：基建投入、网络建设）</w:t>
      </w:r>
    </w:p>
    <w:p>
      <w:r>
        <w:rPr>
          <w:rFonts w:ascii="Consolas" w:hAnsi="Consolas"/>
          <w:sz w:val="18"/>
        </w:rPr>
        <w:t xml:space="preserve">  → 生态培育者（成长期：政策工具、场景开放）</w:t>
      </w:r>
    </w:p>
    <w:p>
      <w:r>
        <w:rPr>
          <w:rFonts w:ascii="Consolas" w:hAnsi="Consolas"/>
          <w:sz w:val="18"/>
        </w:rPr>
        <w:t xml:space="preserve">  → 规则制定者（成熟期：标准制定、制度供给）</w:t>
      </w:r>
    </w:p>
    <w:p>
      <w:r>
        <w:rPr>
          <w:rFonts w:ascii="Consolas" w:hAnsi="Consolas"/>
          <w:sz w:val="18"/>
        </w:rPr>
      </w:r>
    </w:p>
    <w:p>
      <w:r>
        <w:rPr>
          <w:rFonts w:ascii="Consolas" w:hAnsi="Consolas"/>
          <w:sz w:val="18"/>
        </w:rPr>
        <w:t>理论基础：陈宪《中观经济学:理论与应用》· 周黎安《转型中的地方政府》</w:t>
      </w:r>
    </w:p>
    <w:p>
      <w:pPr>
        <w:jc w:val="left"/>
      </w:pPr>
      <w:r>
        <w:rPr>
          <w:color w:val="646464"/>
          <w:sz w:val="18"/>
        </w:rPr>
      </w:r>
    </w:p>
    <w:p>
      <w:pPr>
        <w:pStyle w:val="Heading3"/>
      </w:pPr>
      <w:r>
        <w:t>5.2 两种路径理论概括</w:t>
      </w:r>
    </w:p>
    <w:p>
      <w:pPr>
        <w:jc w:val="left"/>
      </w:pPr>
      <w:r>
        <w:rPr>
          <w:color w:val="646464"/>
          <w:sz w:val="18"/>
        </w:rPr>
        <w:t>```</w:t>
      </w:r>
    </w:p>
    <w:p>
      <w:r>
        <w:rPr>
          <w:rFonts w:ascii="Consolas" w:hAnsi="Consolas"/>
          <w:sz w:val="18"/>
        </w:rPr>
        <w:t>生态构建型（克拉玛依为代表）：</w:t>
      </w:r>
    </w:p>
    <w:p>
      <w:r>
        <w:rPr>
          <w:rFonts w:ascii="Consolas" w:hAnsi="Consolas"/>
          <w:sz w:val="18"/>
        </w:rPr>
        <w:t xml:space="preserve">  适用条件：财政较强 + 产业有基础 + 场景丰富</w:t>
      </w:r>
    </w:p>
    <w:p>
      <w:r>
        <w:rPr>
          <w:rFonts w:ascii="Consolas" w:hAnsi="Consolas"/>
          <w:sz w:val="18"/>
        </w:rPr>
        <w:t xml:space="preserve">  核心逻辑：以公共政策和平台能力降低产业协同成本</w:t>
      </w:r>
    </w:p>
    <w:p>
      <w:r>
        <w:rPr>
          <w:rFonts w:ascii="Consolas" w:hAnsi="Consolas"/>
          <w:sz w:val="18"/>
        </w:rPr>
        <w:t xml:space="preserve">  政府角色：沿四阶段完整演进</w:t>
      </w:r>
    </w:p>
    <w:p>
      <w:r>
        <w:rPr>
          <w:rFonts w:ascii="Consolas" w:hAnsi="Consolas"/>
          <w:sz w:val="18"/>
        </w:rPr>
        <w:t xml:space="preserve">  风险点：财政依赖、产业地产化</w:t>
      </w:r>
    </w:p>
    <w:p>
      <w:r>
        <w:rPr>
          <w:rFonts w:ascii="Consolas" w:hAnsi="Consolas"/>
          <w:sz w:val="18"/>
        </w:rPr>
      </w:r>
    </w:p>
    <w:p>
      <w:r>
        <w:rPr>
          <w:rFonts w:ascii="Consolas" w:hAnsi="Consolas"/>
          <w:sz w:val="18"/>
        </w:rPr>
        <w:t>资源转化型（伊吾为代表）：</w:t>
      </w:r>
    </w:p>
    <w:p>
      <w:r>
        <w:rPr>
          <w:rFonts w:ascii="Consolas" w:hAnsi="Consolas"/>
          <w:sz w:val="18"/>
        </w:rPr>
        <w:t xml:space="preserve">  适用条件：资源突出 + 财政弱 + 产业空白</w:t>
      </w:r>
    </w:p>
    <w:p>
      <w:r>
        <w:rPr>
          <w:rFonts w:ascii="Consolas" w:hAnsi="Consolas"/>
          <w:sz w:val="18"/>
        </w:rPr>
        <w:t xml:space="preserve">  核心逻辑：以硬基建降低要素成本，以跨域通道连接市场</w:t>
      </w:r>
    </w:p>
    <w:p>
      <w:r>
        <w:rPr>
          <w:rFonts w:ascii="Consolas" w:hAnsi="Consolas"/>
          <w:sz w:val="18"/>
        </w:rPr>
        <w:t xml:space="preserve">  政府角色：聚焦前两阶段（资源组织+平台搭建）</w:t>
      </w:r>
    </w:p>
    <w:p>
      <w:r>
        <w:rPr>
          <w:rFonts w:ascii="Consolas" w:hAnsi="Consolas"/>
          <w:sz w:val="18"/>
        </w:rPr>
        <w:t xml:space="preserve">  风险点：产能空置、单一依赖、升级困难</w:t>
      </w:r>
    </w:p>
    <w:p>
      <w:pPr>
        <w:jc w:val="left"/>
      </w:pPr>
      <w:r>
        <w:rPr>
          <w:color w:val="646464"/>
          <w:sz w:val="18"/>
        </w:rPr>
      </w:r>
    </w:p>
    <w:p>
      <w:pPr>
        <w:pStyle w:val="Heading3"/>
      </w:pPr>
      <w:r>
        <w:t>5.3 学术引用（18篇）</w:t>
      </w:r>
    </w:p>
    <w:p>
      <w:pPr>
        <w:jc w:val="left"/>
      </w:pPr>
      <w:r>
        <w:rPr>
          <w:color w:val="646464"/>
          <w:sz w:val="18"/>
        </w:rPr>
        <w:t>```</w:t>
      </w:r>
    </w:p>
    <w:p>
      <w:r>
        <w:rPr>
          <w:rFonts w:ascii="Consolas" w:hAnsi="Consolas"/>
          <w:sz w:val="18"/>
        </w:rPr>
        <w:t>核心理论：</w:t>
      </w:r>
    </w:p>
    <w:p>
      <w:r>
        <w:rPr>
          <w:rFonts w:ascii="Consolas" w:hAnsi="Consolas"/>
          <w:sz w:val="18"/>
        </w:rPr>
        <w:t xml:space="preserve">  1. 陈宪. 中观经济学:理论与应用[M]. 北京大学出版社, 2012</w:t>
      </w:r>
    </w:p>
    <w:p>
      <w:r>
        <w:rPr>
          <w:rFonts w:ascii="Consolas" w:hAnsi="Consolas"/>
          <w:sz w:val="18"/>
        </w:rPr>
        <w:t xml:space="preserve">  2. 周黎安. 转型中的地方政府:官员激励与治理[M]. 格致出版社, 2007</w:t>
      </w:r>
    </w:p>
    <w:p>
      <w:r>
        <w:rPr>
          <w:rFonts w:ascii="Consolas" w:hAnsi="Consolas"/>
          <w:sz w:val="18"/>
        </w:rPr>
        <w:t xml:space="preserve">  3. Porter, M.E. Clusters and the New Economics of Competition[J]. HBR, 1998</w:t>
      </w:r>
    </w:p>
    <w:p>
      <w:r>
        <w:rPr>
          <w:rFonts w:ascii="Consolas" w:hAnsi="Consolas"/>
          <w:sz w:val="18"/>
        </w:rPr>
        <w:t xml:space="preserve">  4. Krugman, P. Increasing Returns and Economic Geography[J]. JPE, 1991</w:t>
      </w:r>
    </w:p>
    <w:p>
      <w:r>
        <w:rPr>
          <w:rFonts w:ascii="Consolas" w:hAnsi="Consolas"/>
          <w:sz w:val="18"/>
        </w:rPr>
      </w:r>
    </w:p>
    <w:p>
      <w:r>
        <w:rPr>
          <w:rFonts w:ascii="Consolas" w:hAnsi="Consolas"/>
          <w:sz w:val="18"/>
        </w:rPr>
        <w:t>产业与政府：</w:t>
      </w:r>
    </w:p>
    <w:p>
      <w:r>
        <w:rPr>
          <w:rFonts w:ascii="Consolas" w:hAnsi="Consolas"/>
          <w:sz w:val="18"/>
        </w:rPr>
        <w:t xml:space="preserve">  5. 刘世锦. 加快发展新质生产力[J]. 中国工业经济, 2024</w:t>
      </w:r>
    </w:p>
    <w:p>
      <w:r>
        <w:rPr>
          <w:rFonts w:ascii="Consolas" w:hAnsi="Consolas"/>
          <w:sz w:val="18"/>
        </w:rPr>
        <w:t xml:space="preserve">  6. 张军. 中国工业化的政府角色[J]. 经济研究, 2019</w:t>
      </w:r>
    </w:p>
    <w:p>
      <w:r>
        <w:rPr>
          <w:rFonts w:ascii="Consolas" w:hAnsi="Consolas"/>
          <w:sz w:val="18"/>
        </w:rPr>
        <w:t xml:space="preserve">  7. 邵帅. 资源型城市转型路径[J]. 经济研究, 2021</w:t>
      </w:r>
    </w:p>
    <w:p>
      <w:r>
        <w:rPr>
          <w:rFonts w:ascii="Consolas" w:hAnsi="Consolas"/>
          <w:sz w:val="18"/>
        </w:rPr>
        <w:t xml:space="preserve">  8. Rodrik, D. Industrial Policy for the 21st Century[R]. CEPR, 2004</w:t>
      </w:r>
    </w:p>
    <w:p>
      <w:r>
        <w:rPr>
          <w:rFonts w:ascii="Consolas" w:hAnsi="Consolas"/>
          <w:sz w:val="18"/>
        </w:rPr>
      </w:r>
    </w:p>
    <w:p>
      <w:r>
        <w:rPr>
          <w:rFonts w:ascii="Consolas" w:hAnsi="Consolas"/>
          <w:sz w:val="18"/>
        </w:rPr>
        <w:t>区域经济：</w:t>
      </w:r>
    </w:p>
    <w:p>
      <w:r>
        <w:rPr>
          <w:rFonts w:ascii="Consolas" w:hAnsi="Consolas"/>
          <w:sz w:val="18"/>
        </w:rPr>
        <w:t xml:space="preserve">  9. 陆铭. 大国大城[M]. 上海人民出版社, 2019</w:t>
      </w:r>
    </w:p>
    <w:p>
      <w:r>
        <w:rPr>
          <w:rFonts w:ascii="Consolas" w:hAnsi="Consolas"/>
          <w:sz w:val="18"/>
        </w:rPr>
        <w:t xml:space="preserve">  10. 王缉慈. 创新的空间:产业集群与区域发展[M]. 北大出版社, 2019</w:t>
      </w:r>
    </w:p>
    <w:p>
      <w:r>
        <w:rPr>
          <w:rFonts w:ascii="Consolas" w:hAnsi="Consolas"/>
          <w:sz w:val="18"/>
        </w:rPr>
        <w:t xml:space="preserve">  11. 刘守英. 土地财政与产业政策[J]. 经济研究, 2018</w:t>
      </w:r>
    </w:p>
    <w:p>
      <w:r>
        <w:rPr>
          <w:rFonts w:ascii="Consolas" w:hAnsi="Consolas"/>
          <w:sz w:val="18"/>
        </w:rPr>
        <w:t xml:space="preserve">  12. 孙久文. 区域协调发展中的政府边界[J]. 经济地理, 2020</w:t>
      </w:r>
    </w:p>
    <w:p>
      <w:r>
        <w:rPr>
          <w:rFonts w:ascii="Consolas" w:hAnsi="Consolas"/>
          <w:sz w:val="18"/>
        </w:rPr>
      </w:r>
    </w:p>
    <w:p>
      <w:r>
        <w:rPr>
          <w:rFonts w:ascii="Consolas" w:hAnsi="Consolas"/>
          <w:sz w:val="18"/>
        </w:rPr>
        <w:t>国际比较：</w:t>
      </w:r>
    </w:p>
    <w:p>
      <w:r>
        <w:rPr>
          <w:rFonts w:ascii="Consolas" w:hAnsi="Consolas"/>
          <w:sz w:val="18"/>
        </w:rPr>
        <w:t xml:space="preserve">  13. Wade, R. Governing the Market[M]. Princeton UP, 1990</w:t>
      </w:r>
    </w:p>
    <w:p>
      <w:r>
        <w:rPr>
          <w:rFonts w:ascii="Consolas" w:hAnsi="Consolas"/>
          <w:sz w:val="18"/>
        </w:rPr>
        <w:t xml:space="preserve">  14. Evans, P. Embedded Autonomy[M]. Princeton UP, 1995</w:t>
      </w:r>
    </w:p>
    <w:p>
      <w:r>
        <w:rPr>
          <w:rFonts w:ascii="Consolas" w:hAnsi="Consolas"/>
          <w:sz w:val="18"/>
        </w:rPr>
        <w:t xml:space="preserve">  15. Chang, H.J. Kicking Away the Ladder[M]. Anthem Press, 2002</w:t>
      </w:r>
    </w:p>
    <w:p>
      <w:r>
        <w:rPr>
          <w:rFonts w:ascii="Consolas" w:hAnsi="Consolas"/>
          <w:sz w:val="18"/>
        </w:rPr>
        <w:t xml:space="preserve">  16. Amsden, A. The Rise of "The Rest"[M]. Oxford UP, 2001</w:t>
      </w:r>
    </w:p>
    <w:p>
      <w:r>
        <w:rPr>
          <w:rFonts w:ascii="Consolas" w:hAnsi="Consolas"/>
          <w:sz w:val="18"/>
        </w:rPr>
      </w:r>
    </w:p>
    <w:p>
      <w:r>
        <w:rPr>
          <w:rFonts w:ascii="Consolas" w:hAnsi="Consolas"/>
          <w:sz w:val="18"/>
        </w:rPr>
        <w:t>其他：</w:t>
      </w:r>
    </w:p>
    <w:p>
      <w:r>
        <w:rPr>
          <w:rFonts w:ascii="Consolas" w:hAnsi="Consolas"/>
          <w:sz w:val="18"/>
        </w:rPr>
        <w:t xml:space="preserve">  17. Acemoglu, D. Why Do Reforms Backfire?[J]. Econometrica, 2012</w:t>
      </w:r>
    </w:p>
    <w:p>
      <w:r>
        <w:rPr>
          <w:rFonts w:ascii="Consolas" w:hAnsi="Consolas"/>
          <w:sz w:val="18"/>
        </w:rPr>
        <w:t xml:space="preserve">  18. 蔡昉. Local Government Behavior and Industrial Policy[J]. China Quarterly, 2017</w:t>
      </w:r>
    </w:p>
    <w:p>
      <w:pPr>
        <w:jc w:val="left"/>
      </w:pPr>
      <w:r>
        <w:rPr>
          <w:color w:val="646464"/>
          <w:sz w:val="18"/>
        </w:rPr>
      </w:r>
    </w:p>
    <w:p>
      <w:r>
        <w:t>――――――――――――――――――――――――――――――</w:t>
      </w:r>
    </w:p>
    <w:p>
      <w:pPr>
        <w:pStyle w:val="Heading2"/>
      </w:pPr>
      <w:r>
        <w:t>六、数据来源可信度标注素材</w:t>
      </w:r>
    </w:p>
    <w:p>
      <w:pPr>
        <w:pStyle w:val="Heading3"/>
      </w:pPr>
      <w:r>
        <w:t>6.1 分级体系</w:t>
      </w:r>
    </w:p>
    <w:p>
      <w:pPr>
        <w:jc w:val="left"/>
      </w:pPr>
      <w:r>
        <w:rPr>
          <w:color w:val="646464"/>
          <w:sz w:val="18"/>
        </w:rPr>
        <w:t>```</w:t>
      </w:r>
    </w:p>
    <w:p>
      <w:r>
        <w:rPr>
          <w:rFonts w:ascii="Consolas" w:hAnsi="Consolas"/>
          <w:sz w:val="18"/>
        </w:rPr>
        <w:t>[A] 官方统计数据——可直接引用</w:t>
      </w:r>
    </w:p>
    <w:p>
      <w:r>
        <w:rPr>
          <w:rFonts w:ascii="Consolas" w:hAnsi="Consolas"/>
          <w:sz w:val="18"/>
        </w:rPr>
        <w:t xml:space="preserve">    例：新疆统计局GDP数据、信通院行业报告、国家发改委政策文件</w:t>
      </w:r>
    </w:p>
    <w:p>
      <w:r>
        <w:rPr>
          <w:rFonts w:ascii="Consolas" w:hAnsi="Consolas"/>
          <w:sz w:val="18"/>
        </w:rPr>
      </w:r>
    </w:p>
    <w:p>
      <w:r>
        <w:rPr>
          <w:rFonts w:ascii="Consolas" w:hAnsi="Consolas"/>
          <w:sz w:val="18"/>
        </w:rPr>
        <w:t>[B] 政府公告/工作报告——可信度高</w:t>
      </w:r>
    </w:p>
    <w:p>
      <w:r>
        <w:rPr>
          <w:rFonts w:ascii="Consolas" w:hAnsi="Consolas"/>
          <w:sz w:val="18"/>
        </w:rPr>
        <w:t xml:space="preserve">    例：克拉玛依市政府工作报告、伊吾县政府公告、新疆发改委公告</w:t>
      </w:r>
    </w:p>
    <w:p>
      <w:r>
        <w:rPr>
          <w:rFonts w:ascii="Consolas" w:hAnsi="Consolas"/>
          <w:sz w:val="18"/>
        </w:rPr>
      </w:r>
    </w:p>
    <w:p>
      <w:r>
        <w:rPr>
          <w:rFonts w:ascii="Consolas" w:hAnsi="Consolas"/>
          <w:sz w:val="18"/>
        </w:rPr>
        <w:t>[C] 企业官方/行业报告——需核查</w:t>
      </w:r>
    </w:p>
    <w:p>
      <w:r>
        <w:rPr>
          <w:rFonts w:ascii="Consolas" w:hAnsi="Consolas"/>
          <w:sz w:val="18"/>
        </w:rPr>
        <w:t xml:space="preserve">    例：企业年报、IDC报告、行业协会公开数据</w:t>
      </w:r>
    </w:p>
    <w:p>
      <w:r>
        <w:rPr>
          <w:rFonts w:ascii="Consolas" w:hAnsi="Consolas"/>
          <w:sz w:val="18"/>
        </w:rPr>
      </w:r>
    </w:p>
    <w:p>
      <w:r>
        <w:rPr>
          <w:rFonts w:ascii="Consolas" w:hAnsi="Consolas"/>
          <w:sz w:val="18"/>
        </w:rPr>
        <w:t>[D] 媒体报道/估算值——仅供参考</w:t>
      </w:r>
    </w:p>
    <w:p>
      <w:r>
        <w:rPr>
          <w:rFonts w:ascii="Consolas" w:hAnsi="Consolas"/>
          <w:sz w:val="18"/>
        </w:rPr>
        <w:t xml:space="preserve">    例：新闻报道、公开演讲中的数字、计算推导值</w:t>
      </w:r>
    </w:p>
    <w:p>
      <w:pPr>
        <w:jc w:val="left"/>
      </w:pPr>
      <w:r>
        <w:rPr>
          <w:color w:val="646464"/>
          <w:sz w:val="18"/>
        </w:rPr>
      </w:r>
    </w:p>
    <w:p>
      <w:pPr>
        <w:pStyle w:val="Heading3"/>
      </w:pPr>
      <w:r>
        <w:t>6.2 数据标注对照</w:t>
      </w:r>
    </w:p>
    <w:p>
      <w:r>
        <w:t>| 数据项 | 数值 | 等级 |</w:t>
      </w:r>
    </w:p>
    <w:p>
      <w:r>
        <w:t>|--------|------|------|</w:t>
      </w:r>
    </w:p>
    <w:p>
      <w:r>
        <w:t>| 全球算力规模2025预测 | 1590 EFLOPS | A |</w:t>
      </w:r>
    </w:p>
    <w:p>
      <w:r>
        <w:t>| 中国算力用电量2024 | 1660亿千瓦时 | A |</w:t>
      </w:r>
    </w:p>
    <w:p>
      <w:r>
        <w:t>| 智能算力占比2025预测 | 72.5% | A |</w:t>
      </w:r>
    </w:p>
    <w:p>
      <w:r>
        <w:t>| 全国平均PUE | ~1.49 | A |</w:t>
      </w:r>
    </w:p>
    <w:p>
      <w:r>
        <w:t>| 克拉玛依2023年GDP | 约1218亿元 | A |</w:t>
      </w:r>
    </w:p>
    <w:p>
      <w:r>
        <w:t>| 克拉玛依智能算力规模 | 17,000P（2024年）[🆕] | B |</w:t>
      </w:r>
    </w:p>
    <w:p>
      <w:r>
        <w:t>| 克拉玛依数据中心 | 6座大型，6.5万标准机柜 [🆕] | B |</w:t>
      </w:r>
    </w:p>
    <w:p>
      <w:r>
        <w:t>| 克拉玛依产业园面积 | 15.09平方公里 [🆕] | B |</w:t>
      </w:r>
    </w:p>
    <w:p>
      <w:r>
        <w:t>| 克拉玛依PUE 1.08 | — | B |</w:t>
      </w:r>
    </w:p>
    <w:p>
      <w:r>
        <w:t>| 政府累计投入2025 | 200亿 | B |</w:t>
      </w:r>
    </w:p>
    <w:p>
      <w:r>
        <w:t>| 入驻企业185家 | — | B |</w:t>
      </w:r>
    </w:p>
    <w:p>
      <w:r>
        <w:t>| 产业基金50亿 | — | B |</w:t>
      </w:r>
    </w:p>
    <w:p>
      <w:r>
        <w:t>| 克拉玛依影视渲染 | 西北最大，3000+部 [🆕] | B |</w:t>
      </w:r>
    </w:p>
    <w:p>
      <w:r>
        <w:t>| 伊吾绿电价格&lt;0.3元/度 | — | B |</w:t>
      </w:r>
    </w:p>
    <w:p>
      <w:r>
        <w:t>| 伊吾输变电投资3.8亿 | — | B |</w:t>
      </w:r>
    </w:p>
    <w:p>
      <w:r>
        <w:t>| 伊吾一般公共预算收入 | 38.13亿（2024年）[🆕] | B |</w:t>
      </w:r>
    </w:p>
    <w:p>
      <w:r>
        <w:t>| 伊吾算力规模 | 20,000P+投运 [🆕] | B |</w:t>
      </w:r>
    </w:p>
    <w:p>
      <w:r>
        <w:t>| 伊吾入驻企业19家 | — | B |</w:t>
      </w:r>
    </w:p>
    <w:p>
      <w:r>
        <w:t>| V2V传输&lt;35ms | "国产V2V自主可控协议体系" [🆕] | B |</w:t>
      </w:r>
    </w:p>
    <w:p>
      <w:r>
        <w:t>| 伊吾累计营收约1.9亿 | — | D |</w:t>
      </w:r>
    </w:p>
    <w:p>
      <w:r>
        <w:t>| 天山智谷项目6万P | — | C |</w:t>
      </w:r>
    </w:p>
    <w:p>
      <w:r>
        <w:t>――――――――――――――――――――――――――――――</w:t>
      </w:r>
    </w:p>
    <w:p>
      <w:pPr>
        <w:pStyle w:val="Heading2"/>
      </w:pPr>
      <w:r>
        <w:t>七、产出内容素材（网页结果区内容）</w:t>
      </w:r>
    </w:p>
    <w:p>
      <w:pPr>
        <w:pStyle w:val="Heading3"/>
      </w:pPr>
      <w:r>
        <w:t>7.1 三种路径判定文案</w:t>
      </w:r>
    </w:p>
    <w:p>
      <w:r>
        <w:t>**生态构建型（匹配度≥55%且显著高于资源转化型）**</w:t>
      </w:r>
    </w:p>
    <w:p>
      <w:pPr>
        <w:jc w:val="left"/>
      </w:pPr>
      <w:r>
        <w:rPr>
          <w:color w:val="646464"/>
          <w:sz w:val="18"/>
        </w:rPr>
        <w:t>```</w:t>
      </w:r>
    </w:p>
    <w:p>
      <w:r>
        <w:rPr>
          <w:rFonts w:ascii="Consolas" w:hAnsi="Consolas"/>
          <w:sz w:val="18"/>
        </w:rPr>
        <w:t>判定标签：生态构建型</w:t>
      </w:r>
    </w:p>
    <w:p>
      <w:r>
        <w:rPr>
          <w:rFonts w:ascii="Consolas" w:hAnsi="Consolas"/>
          <w:sz w:val="18"/>
        </w:rPr>
        <w:t>参考案例：克拉玛依</w:t>
      </w:r>
    </w:p>
    <w:p>
      <w:r>
        <w:rPr>
          <w:rFonts w:ascii="Consolas" w:hAnsi="Consolas"/>
          <w:sz w:val="18"/>
        </w:rPr>
        <w:t>核心特征：政府深度组织+全链条生态培育</w:t>
      </w:r>
    </w:p>
    <w:p>
      <w:r>
        <w:rPr>
          <w:rFonts w:ascii="Consolas" w:hAnsi="Consolas"/>
          <w:sz w:val="18"/>
        </w:rPr>
        <w:t>适合条件：财政统筹能力强、产业基础较好、本地有丰富应用场景</w:t>
      </w:r>
    </w:p>
    <w:p>
      <w:r>
        <w:rPr>
          <w:rFonts w:ascii="Consolas" w:hAnsi="Consolas"/>
          <w:sz w:val="18"/>
        </w:rPr>
        <w:t>核心逻辑：以公共政策和平台能力降低产业协同成本</w:t>
      </w:r>
    </w:p>
    <w:p>
      <w:r>
        <w:rPr>
          <w:rFonts w:ascii="Consolas" w:hAnsi="Consolas"/>
          <w:sz w:val="18"/>
        </w:rPr>
        <w:t>主要风险：财政依赖、产业地产化、人才留存</w:t>
      </w:r>
    </w:p>
    <w:p>
      <w:pPr>
        <w:jc w:val="left"/>
      </w:pPr>
      <w:r>
        <w:rPr>
          <w:color w:val="646464"/>
          <w:sz w:val="18"/>
        </w:rPr>
      </w:r>
    </w:p>
    <w:p>
      <w:r>
        <w:t>**资源转化型（匹配度≥55%且显著高于生态构建型）**</w:t>
      </w:r>
    </w:p>
    <w:p>
      <w:pPr>
        <w:jc w:val="left"/>
      </w:pPr>
      <w:r>
        <w:rPr>
          <w:color w:val="646464"/>
          <w:sz w:val="18"/>
        </w:rPr>
        <w:t>```</w:t>
      </w:r>
    </w:p>
    <w:p>
      <w:r>
        <w:rPr>
          <w:rFonts w:ascii="Consolas" w:hAnsi="Consolas"/>
          <w:sz w:val="18"/>
        </w:rPr>
        <w:t>判定标签：资源转化型</w:t>
      </w:r>
    </w:p>
    <w:p>
      <w:r>
        <w:rPr>
          <w:rFonts w:ascii="Consolas" w:hAnsi="Consolas"/>
          <w:sz w:val="18"/>
        </w:rPr>
        <w:t>参考案例：伊吾</w:t>
      </w:r>
    </w:p>
    <w:p>
      <w:r>
        <w:rPr>
          <w:rFonts w:ascii="Consolas" w:hAnsi="Consolas"/>
          <w:sz w:val="18"/>
        </w:rPr>
        <w:t>核心特征：硬基建压降+要素直供</w:t>
      </w:r>
    </w:p>
    <w:p>
      <w:r>
        <w:rPr>
          <w:rFonts w:ascii="Consolas" w:hAnsi="Consolas"/>
          <w:sz w:val="18"/>
        </w:rPr>
        <w:t>适合条件：财政有限、产业薄弱但资源禀赋（绿电/气候/土地）突出</w:t>
      </w:r>
    </w:p>
    <w:p>
      <w:r>
        <w:rPr>
          <w:rFonts w:ascii="Consolas" w:hAnsi="Consolas"/>
          <w:sz w:val="18"/>
        </w:rPr>
        <w:t>核心逻辑：以硬基建降低要素成本，以跨域通道连接外部市场</w:t>
      </w:r>
    </w:p>
    <w:p>
      <w:r>
        <w:rPr>
          <w:rFonts w:ascii="Consolas" w:hAnsi="Consolas"/>
          <w:sz w:val="18"/>
        </w:rPr>
        <w:t>主要风险：产能空置、单一依赖、绿电波动、升级困难</w:t>
      </w:r>
    </w:p>
    <w:p>
      <w:pPr>
        <w:jc w:val="left"/>
      </w:pPr>
      <w:r>
        <w:rPr>
          <w:color w:val="646464"/>
          <w:sz w:val="18"/>
        </w:rPr>
      </w:r>
    </w:p>
    <w:p>
      <w:r>
        <w:t>**混合型（两者均&lt;55%或差距&lt;10%）**</w:t>
      </w:r>
    </w:p>
    <w:p>
      <w:pPr>
        <w:jc w:val="left"/>
      </w:pPr>
      <w:r>
        <w:rPr>
          <w:color w:val="646464"/>
          <w:sz w:val="18"/>
        </w:rPr>
        <w:t>```</w:t>
      </w:r>
    </w:p>
    <w:p>
      <w:r>
        <w:rPr>
          <w:rFonts w:ascii="Consolas" w:hAnsi="Consolas"/>
          <w:sz w:val="18"/>
        </w:rPr>
        <w:t>判定标签：混合型</w:t>
      </w:r>
    </w:p>
    <w:p>
      <w:r>
        <w:rPr>
          <w:rFonts w:ascii="Consolas" w:hAnsi="Consolas"/>
          <w:sz w:val="18"/>
        </w:rPr>
        <w:t>核心特征：介于两种典型模式之间</w:t>
      </w:r>
    </w:p>
    <w:p>
      <w:r>
        <w:rPr>
          <w:rFonts w:ascii="Consolas" w:hAnsi="Consolas"/>
          <w:sz w:val="18"/>
        </w:rPr>
        <w:t>适合条件：不具备单一模式的典型优势</w:t>
      </w:r>
    </w:p>
    <w:p>
      <w:r>
        <w:rPr>
          <w:rFonts w:ascii="Consolas" w:hAnsi="Consolas"/>
          <w:sz w:val="18"/>
        </w:rPr>
        <w:t>建议策略：资源端占优则走资源转化，产业端占优则走生态构建</w:t>
      </w:r>
    </w:p>
    <w:p>
      <w:pPr>
        <w:jc w:val="left"/>
      </w:pPr>
      <w:r>
        <w:rPr>
          <w:color w:val="646464"/>
          <w:sz w:val="18"/>
        </w:rPr>
      </w:r>
    </w:p>
    <w:p>
      <w:pPr>
        <w:pStyle w:val="Heading3"/>
      </w:pPr>
      <w:r>
        <w:t>7.2 政策建议文案（全量16条）</w:t>
      </w:r>
    </w:p>
    <w:p>
      <w:pPr>
        <w:jc w:val="left"/>
      </w:pPr>
      <w:r>
        <w:rPr>
          <w:color w:val="646464"/>
          <w:sz w:val="18"/>
        </w:rPr>
        <w:t>```</w:t>
      </w:r>
    </w:p>
    <w:p>
      <w:r>
        <w:rPr>
          <w:rFonts w:ascii="Consolas" w:hAnsi="Consolas"/>
          <w:sz w:val="18"/>
        </w:rPr>
        <w:t>生态构建型（6条）：</w:t>
      </w:r>
    </w:p>
    <w:p>
      <w:r>
        <w:rPr>
          <w:rFonts w:ascii="Consolas" w:hAnsi="Consolas"/>
          <w:sz w:val="18"/>
        </w:rPr>
        <w:t xml:space="preserve">  1. 设立产业引导基金，构建多层次资金支持体系</w:t>
      </w:r>
    </w:p>
    <w:p>
      <w:r>
        <w:rPr>
          <w:rFonts w:ascii="Consolas" w:hAnsi="Consolas"/>
          <w:sz w:val="18"/>
        </w:rPr>
        <w:t xml:space="preserve">  2. 发放算力券/运营补贴，降低中小企业用算门槛</w:t>
      </w:r>
    </w:p>
    <w:p>
      <w:r>
        <w:rPr>
          <w:rFonts w:ascii="Consolas" w:hAnsi="Consolas"/>
          <w:sz w:val="18"/>
        </w:rPr>
        <w:t xml:space="preserve">  3. 开放政务、能源、文旅等应用场景，提供本地市场</w:t>
      </w:r>
    </w:p>
    <w:p>
      <w:r>
        <w:rPr>
          <w:rFonts w:ascii="Consolas" w:hAnsi="Consolas"/>
          <w:sz w:val="18"/>
        </w:rPr>
        <w:t xml:space="preserve">  4. 搭建公共算力服务平台，吸引上下游企业集聚</w:t>
      </w:r>
    </w:p>
    <w:p>
      <w:r>
        <w:rPr>
          <w:rFonts w:ascii="Consolas" w:hAnsi="Consolas"/>
          <w:sz w:val="18"/>
        </w:rPr>
        <w:t xml:space="preserve">  5. 实施人才补贴政策，配套科研平台引入机制</w:t>
      </w:r>
    </w:p>
    <w:p>
      <w:r>
        <w:rPr>
          <w:rFonts w:ascii="Consolas" w:hAnsi="Consolas"/>
          <w:sz w:val="18"/>
        </w:rPr>
        <w:t xml:space="preserve">  6. 规划绿电直供+高效冷却技术，PUE目标控制1.1以下</w:t>
      </w:r>
    </w:p>
    <w:p>
      <w:r>
        <w:rPr>
          <w:rFonts w:ascii="Consolas" w:hAnsi="Consolas"/>
          <w:sz w:val="18"/>
        </w:rPr>
      </w:r>
    </w:p>
    <w:p>
      <w:r>
        <w:rPr>
          <w:rFonts w:ascii="Consolas" w:hAnsi="Consolas"/>
          <w:sz w:val="18"/>
        </w:rPr>
        <w:t>资源转化型（6条）：</w:t>
      </w:r>
    </w:p>
    <w:p>
      <w:r>
        <w:rPr>
          <w:rFonts w:ascii="Consolas" w:hAnsi="Consolas"/>
          <w:sz w:val="18"/>
        </w:rPr>
        <w:t xml:space="preserve">  1. 集中财政投向硬基建：输变电工程、园区道路、网络通道</w:t>
      </w:r>
    </w:p>
    <w:p>
      <w:r>
        <w:rPr>
          <w:rFonts w:ascii="Consolas" w:hAnsi="Consolas"/>
          <w:sz w:val="18"/>
        </w:rPr>
        <w:t xml:space="preserve">  2. 实施要素成本驱动策略，靠电价/地价/气候优势吸引企业</w:t>
      </w:r>
    </w:p>
    <w:p>
      <w:r>
        <w:rPr>
          <w:rFonts w:ascii="Consolas" w:hAnsi="Consolas"/>
          <w:sz w:val="18"/>
        </w:rPr>
        <w:t xml:space="preserve">  3. 建设跨区域网络通道，以低时延连接东部大市场</w:t>
      </w:r>
    </w:p>
    <w:p>
      <w:r>
        <w:rPr>
          <w:rFonts w:ascii="Consolas" w:hAnsi="Consolas"/>
          <w:sz w:val="18"/>
        </w:rPr>
        <w:t xml:space="preserve">  4. 主动对接外部算力需求，打通"资源→市场"通道</w:t>
      </w:r>
    </w:p>
    <w:p>
      <w:r>
        <w:rPr>
          <w:rFonts w:ascii="Consolas" w:hAnsi="Consolas"/>
          <w:sz w:val="18"/>
        </w:rPr>
        <w:t xml:space="preserve">  5. 初期聚焦离线计算等低时延不敏感业务</w:t>
      </w:r>
    </w:p>
    <w:p>
      <w:r>
        <w:rPr>
          <w:rFonts w:ascii="Consolas" w:hAnsi="Consolas"/>
          <w:sz w:val="18"/>
        </w:rPr>
        <w:t xml:space="preserve">  6. 预留升级空间，后期逐步补足应用场景和产业配套</w:t>
      </w:r>
    </w:p>
    <w:p>
      <w:r>
        <w:rPr>
          <w:rFonts w:ascii="Consolas" w:hAnsi="Consolas"/>
          <w:sz w:val="18"/>
        </w:rPr>
      </w:r>
    </w:p>
    <w:p>
      <w:r>
        <w:rPr>
          <w:rFonts w:ascii="Consolas" w:hAnsi="Consolas"/>
          <w:sz w:val="18"/>
        </w:rPr>
        <w:t>混合型（4条）：</w:t>
      </w:r>
    </w:p>
    <w:p>
      <w:r>
        <w:rPr>
          <w:rFonts w:ascii="Consolas" w:hAnsi="Consolas"/>
          <w:sz w:val="18"/>
        </w:rPr>
        <w:t xml:space="preserve">  1. 优先审查本地最有优势的2-3个维度集中突破</w:t>
      </w:r>
    </w:p>
    <w:p>
      <w:r>
        <w:rPr>
          <w:rFonts w:ascii="Consolas" w:hAnsi="Consolas"/>
          <w:sz w:val="18"/>
        </w:rPr>
        <w:t xml:space="preserve">  2. 资源端（电价/气候/土地）占优则先走资源转化型</w:t>
      </w:r>
    </w:p>
    <w:p>
      <w:r>
        <w:rPr>
          <w:rFonts w:ascii="Consolas" w:hAnsi="Consolas"/>
          <w:sz w:val="18"/>
        </w:rPr>
        <w:t xml:space="preserve">  3. 产业端（场景/人才/财政）占优则先走生态构建型</w:t>
      </w:r>
    </w:p>
    <w:p>
      <w:r>
        <w:rPr>
          <w:rFonts w:ascii="Consolas" w:hAnsi="Consolas"/>
          <w:sz w:val="18"/>
        </w:rPr>
        <w:t xml:space="preserve">  4. 控制前期投资节奏，避免贪大求全导致财政负担</w:t>
      </w:r>
    </w:p>
    <w:p>
      <w:pPr>
        <w:jc w:val="left"/>
      </w:pPr>
      <w:r>
        <w:rPr>
          <w:color w:val="646464"/>
          <w:sz w:val="18"/>
        </w:rPr>
      </w:r>
    </w:p>
    <w:p>
      <w:pPr>
        <w:pStyle w:val="Heading3"/>
      </w:pPr>
      <w:r>
        <w:t>7.3 风险提示文案（全量10条）</w:t>
      </w:r>
    </w:p>
    <w:p>
      <w:pPr>
        <w:jc w:val="left"/>
      </w:pPr>
      <w:r>
        <w:rPr>
          <w:color w:val="646464"/>
          <w:sz w:val="18"/>
        </w:rPr>
        <w:t>```</w:t>
      </w:r>
    </w:p>
    <w:p>
      <w:r>
        <w:rPr>
          <w:rFonts w:ascii="Consolas" w:hAnsi="Consolas"/>
          <w:sz w:val="18"/>
        </w:rPr>
        <w:t>生态构建型（3条）：</w:t>
      </w:r>
    </w:p>
    <w:p>
      <w:r>
        <w:rPr>
          <w:rFonts w:ascii="Consolas" w:hAnsi="Consolas"/>
          <w:sz w:val="18"/>
        </w:rPr>
        <w:t xml:space="preserve">  1. 防范财政补贴依赖，设定退出机制和补贴递减路径</w:t>
      </w:r>
    </w:p>
    <w:p>
      <w:r>
        <w:rPr>
          <w:rFonts w:ascii="Consolas" w:hAnsi="Consolas"/>
          <w:sz w:val="18"/>
        </w:rPr>
        <w:t xml:space="preserve">  2. 防止产业地产化，避免为招商而招商导致空置</w:t>
      </w:r>
    </w:p>
    <w:p>
      <w:r>
        <w:rPr>
          <w:rFonts w:ascii="Consolas" w:hAnsi="Consolas"/>
          <w:sz w:val="18"/>
        </w:rPr>
        <w:t xml:space="preserve">  3. 关注人才留存，软环境（医疗/教育）需同步跟进</w:t>
      </w:r>
    </w:p>
    <w:p>
      <w:r>
        <w:rPr>
          <w:rFonts w:ascii="Consolas" w:hAnsi="Consolas"/>
          <w:sz w:val="18"/>
        </w:rPr>
      </w:r>
    </w:p>
    <w:p>
      <w:r>
        <w:rPr>
          <w:rFonts w:ascii="Consolas" w:hAnsi="Consolas"/>
          <w:sz w:val="18"/>
        </w:rPr>
        <w:t>资源转化型（4条）：</w:t>
      </w:r>
    </w:p>
    <w:p>
      <w:r>
        <w:rPr>
          <w:rFonts w:ascii="Consolas" w:hAnsi="Consolas"/>
          <w:sz w:val="18"/>
        </w:rPr>
        <w:t xml:space="preserve">  1. 警惕算力产能空置风险，需确保外部需求稳定持续</w:t>
      </w:r>
    </w:p>
    <w:p>
      <w:r>
        <w:rPr>
          <w:rFonts w:ascii="Consolas" w:hAnsi="Consolas"/>
          <w:sz w:val="18"/>
        </w:rPr>
        <w:t xml:space="preserve">  2. 防范单一客户依赖，产业链脆弱需多源对接</w:t>
      </w:r>
    </w:p>
    <w:p>
      <w:r>
        <w:rPr>
          <w:rFonts w:ascii="Consolas" w:hAnsi="Consolas"/>
          <w:sz w:val="18"/>
        </w:rPr>
        <w:t xml:space="preserve">  3. 关注绿电波动风险，需储能或备电方案</w:t>
      </w:r>
    </w:p>
    <w:p>
      <w:r>
        <w:rPr>
          <w:rFonts w:ascii="Consolas" w:hAnsi="Consolas"/>
          <w:sz w:val="18"/>
        </w:rPr>
        <w:t xml:space="preserve">  4. 长期需补生态厚度，单一要素驱动难以持续升级</w:t>
      </w:r>
    </w:p>
    <w:p>
      <w:r>
        <w:rPr>
          <w:rFonts w:ascii="Consolas" w:hAnsi="Consolas"/>
          <w:sz w:val="18"/>
        </w:rPr>
      </w:r>
    </w:p>
    <w:p>
      <w:r>
        <w:rPr>
          <w:rFonts w:ascii="Consolas" w:hAnsi="Consolas"/>
          <w:sz w:val="18"/>
        </w:rPr>
        <w:t>混合型（3条）：</w:t>
      </w:r>
    </w:p>
    <w:p>
      <w:r>
        <w:rPr>
          <w:rFonts w:ascii="Consolas" w:hAnsi="Consolas"/>
          <w:sz w:val="18"/>
        </w:rPr>
        <w:t xml:space="preserve">  1. 避免左右摇摆，需明确短期主攻方向</w:t>
      </w:r>
    </w:p>
    <w:p>
      <w:r>
        <w:rPr>
          <w:rFonts w:ascii="Consolas" w:hAnsi="Consolas"/>
          <w:sz w:val="18"/>
        </w:rPr>
        <w:t xml:space="preserve">  2. 警惕两端不突出，先找最小可行性路径验证</w:t>
      </w:r>
    </w:p>
    <w:p>
      <w:r>
        <w:rPr>
          <w:rFonts w:ascii="Consolas" w:hAnsi="Consolas"/>
          <w:sz w:val="18"/>
        </w:rPr>
        <w:t xml:space="preserve">  3. 建议做小规模试点验证后再扩大投入</w:t>
      </w:r>
    </w:p>
    <w:p>
      <w:pPr>
        <w:jc w:val="left"/>
      </w:pPr>
      <w:r>
        <w:rPr>
          <w:color w:val="646464"/>
          <w:sz w:val="18"/>
        </w:rPr>
      </w:r>
    </w:p>
    <w:p>
      <w:r>
        <w:t>――――――――――――――――――――――――――――――</w:t>
      </w:r>
    </w:p>
    <w:p>
      <w:r>
        <w:rPr>
          <w:i/>
          <w:color w:val="646464"/>
        </w:rPr>
        <w:t>本资料库提供的是构建网页所需的全部**原始素材**</w:t>
      </w:r>
    </w:p>
    <w:p>
      <w:r>
        <w:rPr>
          <w:i/>
          <w:color w:val="646464"/>
        </w:rPr>
        <w:t>所有数据均已标注可信度等级（A/B/C/D）</w:t>
      </w:r>
    </w:p>
    <w:p>
      <w:r>
        <w:rPr>
          <w:i/>
          <w:color w:val="646464"/>
        </w:rPr>
        <w:t>路径：【参见附录】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