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绿算治策 · 视觉设计方案</w:t>
      </w:r>
    </w:p>
    <w:p>
      <w:r>
        <w:rPr>
          <w:i/>
          <w:color w:val="646464"/>
        </w:rPr>
        <w:t>用途：定义最终产品的视觉风格、布局、交互流程</w:t>
      </w:r>
    </w:p>
    <w:p>
      <w:r>
        <w:rPr>
          <w:i/>
          <w:color w:val="646464"/>
        </w:rPr>
        <w:t>执行前确认方案，确认后再开发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一、整体风格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风格定位：专业 · 清晰 · 可信</w:t>
      </w:r>
    </w:p>
    <w:p>
      <w:r>
        <w:rPr>
          <w:rFonts w:ascii="Consolas" w:hAnsi="Consolas"/>
          <w:sz w:val="18"/>
        </w:rPr>
        <w:t>配色基调：**深绿**（绿算治策）+ 青绿（绿色算力）+ 白（清爽）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适合场景：政府工作人员使用 / 比赛展示</w:t>
      </w:r>
    </w:p>
    <w:p>
      <w:r>
        <w:rPr>
          <w:rFonts w:ascii="Consolas" w:hAnsi="Consolas"/>
          <w:sz w:val="18"/>
        </w:rPr>
        <w:t>目标用户：西部县市发改局/工信局工作人员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二、配色系统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主色：**深绿**     #0D5E33   → 标题、导航、主要按钮</w:t>
      </w:r>
    </w:p>
    <w:p>
      <w:r>
        <w:rPr>
          <w:rFonts w:ascii="Consolas" w:hAnsi="Consolas"/>
          <w:sz w:val="18"/>
        </w:rPr>
        <w:t>辅色：中绿     #1A7A45   → 生态构建型标签、数据高亮</w:t>
      </w:r>
    </w:p>
    <w:p>
      <w:r>
        <w:rPr>
          <w:rFonts w:ascii="Consolas" w:hAnsi="Consolas"/>
          <w:sz w:val="18"/>
        </w:rPr>
        <w:t>辅色：青绿     #00A07A   → 资源转化型标签、增长数据</w:t>
      </w:r>
    </w:p>
    <w:p>
      <w:r>
        <w:rPr>
          <w:rFonts w:ascii="Consolas" w:hAnsi="Consolas"/>
          <w:sz w:val="18"/>
        </w:rPr>
        <w:t>警示色：橙     #E67E00   → 风险提示、你的数据</w:t>
      </w:r>
    </w:p>
    <w:p>
      <w:r>
        <w:rPr>
          <w:rFonts w:ascii="Consolas" w:hAnsi="Consolas"/>
          <w:sz w:val="18"/>
        </w:rPr>
        <w:t>亮绿高亮     #7AE0A0   → 标题高亮文字</w:t>
      </w:r>
    </w:p>
    <w:p>
      <w:r>
        <w:rPr>
          <w:rFonts w:ascii="Consolas" w:hAnsi="Consolas"/>
          <w:sz w:val="18"/>
        </w:rPr>
        <w:t>背景色：浅绿    #F2F8F4   → 页面底色</w:t>
      </w:r>
    </w:p>
    <w:p>
      <w:r>
        <w:rPr>
          <w:rFonts w:ascii="Consolas" w:hAnsi="Consolas"/>
          <w:sz w:val="18"/>
        </w:rPr>
        <w:t>卡片色：白     #FFFFFF   → 内容卡片</w:t>
      </w:r>
    </w:p>
    <w:p>
      <w:r>
        <w:rPr>
          <w:rFonts w:ascii="Consolas" w:hAnsi="Consolas"/>
          <w:sz w:val="18"/>
        </w:rPr>
        <w:t>文字主色：深灰  #1A2A1E   → 正文</w:t>
      </w:r>
    </w:p>
    <w:p>
      <w:r>
        <w:rPr>
          <w:rFonts w:ascii="Consolas" w:hAnsi="Consolas"/>
          <w:sz w:val="18"/>
        </w:rPr>
        <w:t>文字辅色：中灰  #4A6A5A   → 次要文字</w:t>
      </w:r>
    </w:p>
    <w:p>
      <w:r>
        <w:rPr>
          <w:rFonts w:ascii="Consolas" w:hAnsi="Consolas"/>
          <w:sz w:val="18"/>
        </w:rPr>
        <w:t>分割线：淡灰   #E0E6EE   → 分割线、边框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三、页面布局（响应式）</w:t>
      </w:r>
    </w:p>
    <w:p>
      <w:pPr>
        <w:pStyle w:val="Heading3"/>
      </w:pPr>
      <w:r>
        <w:t>3.1 桌面端（≥1024px）两栏布局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🌱 绿算治策             绿色算力产业治理决策支持系统       │</w:t>
      </w:r>
    </w:p>
    <w:p>
      <w:r>
        <w:rPr>
          <w:rFonts w:ascii="Consolas" w:hAnsi="Consolas"/>
          <w:sz w:val="18"/>
        </w:rPr>
        <w:t>│                   中国国际大学生创新大赛（2026）              │</w:t>
      </w:r>
    </w:p>
    <w:p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一句话定位：为西部地区提供绿色算力产业发展路径参考            │</w:t>
      </w:r>
    </w:p>
    <w:p>
      <w:r>
        <w:rPr>
          <w:rFonts w:ascii="Consolas" w:hAnsi="Consolas"/>
          <w:sz w:val="18"/>
        </w:rPr>
        <w:t>├──────────────────────┬───────────────────────────────────┤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                    │                                    │</w:t>
      </w:r>
    </w:p>
    <w:p>
      <w:r>
        <w:rPr>
          <w:rFonts w:ascii="Consolas" w:hAnsi="Consolas"/>
          <w:sz w:val="18"/>
        </w:rPr>
        <w:t>│  📋 输入地区参数       │  📊 分析结果                        │</w:t>
      </w:r>
    </w:p>
    <w:p>
      <w:r>
        <w:rPr>
          <w:rFonts w:ascii="Consolas" w:hAnsi="Consolas"/>
          <w:sz w:val="18"/>
        </w:rPr>
        <w:t>│                      │                                    │</w:t>
      </w:r>
    </w:p>
    <w:p>
      <w:r>
        <w:rPr>
          <w:rFonts w:ascii="Consolas" w:hAnsi="Consolas"/>
          <w:sz w:val="18"/>
        </w:rPr>
        <w:t>│  ① 行政层级  [输入框]  │  路径判定：[生态构建型] 标签          │</w:t>
      </w:r>
    </w:p>
    <w:p>
      <w:r>
        <w:rPr>
          <w:rFonts w:ascii="Consolas" w:hAnsi="Consolas"/>
          <w:sz w:val="18"/>
        </w:rPr>
        <w:t>│  ② 财政收入  [输入框]  │  匹配度：██░░░░ 73%               │</w:t>
      </w:r>
    </w:p>
    <w:p>
      <w:r>
        <w:rPr>
          <w:rFonts w:ascii="Consolas" w:hAnsi="Consolas"/>
          <w:sz w:val="18"/>
        </w:rPr>
        <w:t>│  ③ 企业数量  [输入框]  │                                    │</w:t>
      </w:r>
    </w:p>
    <w:p>
      <w:r>
        <w:rPr>
          <w:rFonts w:ascii="Consolas" w:hAnsi="Consolas"/>
          <w:sz w:val="18"/>
        </w:rPr>
        <w:t>│  ④ 用电价格  [输入框]  │  雷达图（四维模型可视化）             │</w:t>
      </w:r>
    </w:p>
    <w:p>
      <w:r>
        <w:rPr>
          <w:rFonts w:ascii="Consolas" w:hAnsi="Consolas"/>
          <w:sz w:val="18"/>
        </w:rPr>
        <w:t>│  ⑤ 年均气温  [输入框]  │                                    │</w:t>
      </w:r>
    </w:p>
    <w:p>
      <w:r>
        <w:rPr>
          <w:rFonts w:ascii="Consolas" w:hAnsi="Consolas"/>
          <w:sz w:val="18"/>
        </w:rPr>
        <w:t>│  ⑥ 产业用地  [输入框]  │  参数对比柱状图                      │</w:t>
      </w:r>
    </w:p>
    <w:p>
      <w:r>
        <w:rPr>
          <w:rFonts w:ascii="Consolas" w:hAnsi="Consolas"/>
          <w:sz w:val="18"/>
        </w:rPr>
        <w:t>│  ⑦ 应用场景  [输入框]  │                                    │</w:t>
      </w:r>
    </w:p>
    <w:p>
      <w:r>
        <w:rPr>
          <w:rFonts w:ascii="Consolas" w:hAnsi="Consolas"/>
          <w:sz w:val="18"/>
        </w:rPr>
        <w:t>│  ⑧ 高校数量  [输入框]  │  发展建议（条目列表）                │</w:t>
      </w:r>
    </w:p>
    <w:p>
      <w:r>
        <w:rPr>
          <w:rFonts w:ascii="Consolas" w:hAnsi="Consolas"/>
          <w:sz w:val="18"/>
        </w:rPr>
        <w:t>│                      │  风险提示（条目列表）                  │</w:t>
      </w:r>
    </w:p>
    <w:p>
      <w:r>
        <w:rPr>
          <w:rFonts w:ascii="Consolas" w:hAnsi="Consolas"/>
          <w:sz w:val="18"/>
        </w:rPr>
        <w:t>│  [📂载入参考] [分析]   │                                    │</w:t>
      </w:r>
    </w:p>
    <w:p>
      <w:r>
        <w:rPr>
          <w:rFonts w:ascii="Consolas" w:hAnsi="Consolas"/>
          <w:sz w:val="18"/>
        </w:rPr>
        <w:t>│                      │  ▼ 参考案例数据对比（可折叠）          │</w:t>
      </w:r>
    </w:p>
    <w:p>
      <w:r>
        <w:rPr>
          <w:rFonts w:ascii="Consolas" w:hAnsi="Consolas"/>
          <w:sz w:val="18"/>
        </w:rPr>
        <w:t>├──────────────────────┴───────────────────────────────────┤</w:t>
      </w:r>
    </w:p>
    <w:p>
      <w:r>
        <w:rPr>
          <w:rFonts w:ascii="Consolas" w:hAnsi="Consolas"/>
          <w:sz w:val="18"/>
        </w:rPr>
        <w:t>│  数据来源：新疆统计局 · 克拉玛依市政府 · 伊吾县政府 · 信通院   │</w:t>
      </w:r>
    </w:p>
    <w:p>
      <w:r>
        <w:rPr>
          <w:rFonts w:ascii="Consolas" w:hAnsi="Consolas"/>
          <w:sz w:val="18"/>
        </w:rPr>
        <w:t>│  绿算治策 · 绿色算力产业治理决策支持系统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3.2 移动端（&lt;768px）单栏布局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┌──────────────────────┐</w:t>
      </w:r>
    </w:p>
    <w:p>
      <w:r>
        <w:rPr>
          <w:rFonts w:ascii="Consolas" w:hAnsi="Consolas"/>
          <w:sz w:val="18"/>
        </w:rPr>
        <w:t>│  🌱 绿算治策           │</w:t>
      </w:r>
    </w:p>
    <w:p>
      <w:r>
        <w:rPr>
          <w:rFonts w:ascii="Consolas" w:hAnsi="Consolas"/>
          <w:sz w:val="18"/>
        </w:rPr>
        <w:t>│  绿色算力产业治理       │</w:t>
      </w:r>
    </w:p>
    <w:p>
      <w:r>
        <w:rPr>
          <w:rFonts w:ascii="Consolas" w:hAnsi="Consolas"/>
          <w:sz w:val="18"/>
        </w:rPr>
        <w:t>├──────────────────────┤</w:t>
      </w:r>
    </w:p>
    <w:p>
      <w:r>
        <w:rPr>
          <w:rFonts w:ascii="Consolas" w:hAnsi="Consolas"/>
          <w:sz w:val="18"/>
        </w:rPr>
        <w:t>│  输入参数 → 分析结果    │</w:t>
      </w:r>
    </w:p>
    <w:p>
      <w:r>
        <w:rPr>
          <w:rFonts w:ascii="Consolas" w:hAnsi="Consolas"/>
          <w:sz w:val="18"/>
        </w:rPr>
        <w:t>│     (切换式)           │</w:t>
      </w:r>
    </w:p>
    <w:p>
      <w:r>
        <w:rPr>
          <w:rFonts w:ascii="Consolas" w:hAnsi="Consolas"/>
          <w:sz w:val="18"/>
        </w:rPr>
        <w:t>├──────────────────────┤</w:t>
      </w:r>
    </w:p>
    <w:p>
      <w:r>
        <w:rPr>
          <w:rFonts w:ascii="Consolas" w:hAnsi="Consolas"/>
          <w:sz w:val="18"/>
        </w:rPr>
        <w:t>│  ① 行政层级  [输入框]  │</w:t>
      </w:r>
    </w:p>
    <w:p>
      <w:r>
        <w:rPr>
          <w:rFonts w:ascii="Consolas" w:hAnsi="Consolas"/>
          <w:sz w:val="18"/>
        </w:rPr>
        <w:t>│  ② 财政收入  [输入框]  │</w:t>
      </w:r>
    </w:p>
    <w:p>
      <w:r>
        <w:rPr>
          <w:rFonts w:ascii="Consolas" w:hAnsi="Consolas"/>
          <w:sz w:val="18"/>
        </w:rPr>
        <w:t>│  ...                  │</w:t>
      </w:r>
    </w:p>
    <w:p>
      <w:r>
        <w:rPr>
          <w:rFonts w:ascii="Consolas" w:hAnsi="Consolas"/>
          <w:sz w:val="18"/>
        </w:rPr>
        <w:t>│  [分析]                │</w:t>
      </w:r>
    </w:p>
    <w:p>
      <w:r>
        <w:rPr>
          <w:rFonts w:ascii="Consolas" w:hAnsi="Consolas"/>
          <w:sz w:val="18"/>
        </w:rPr>
        <w:t>├──────────────────────┤</w:t>
      </w:r>
    </w:p>
    <w:p>
      <w:r>
        <w:rPr>
          <w:rFonts w:ascii="Consolas" w:hAnsi="Consolas"/>
          <w:sz w:val="18"/>
        </w:rPr>
        <w:t>│  📊 结果               │</w:t>
      </w:r>
    </w:p>
    <w:p>
      <w:r>
        <w:rPr>
          <w:rFonts w:ascii="Consolas" w:hAnsi="Consolas"/>
          <w:sz w:val="18"/>
        </w:rPr>
        <w:t>│  路径标签 + 匹配度条    │</w:t>
      </w:r>
    </w:p>
    <w:p>
      <w:r>
        <w:rPr>
          <w:rFonts w:ascii="Consolas" w:hAnsi="Consolas"/>
          <w:sz w:val="18"/>
        </w:rPr>
        <w:t>│  雷达图（小）           │</w:t>
      </w:r>
    </w:p>
    <w:p>
      <w:r>
        <w:rPr>
          <w:rFonts w:ascii="Consolas" w:hAnsi="Consolas"/>
          <w:sz w:val="18"/>
        </w:rPr>
        <w:t>│  建议列表               │</w:t>
      </w:r>
    </w:p>
    <w:p>
      <w:r>
        <w:rPr>
          <w:rFonts w:ascii="Consolas" w:hAnsi="Consolas"/>
          <w:sz w:val="18"/>
        </w:rPr>
        <w:t>├──────────────────────┤</w:t>
      </w:r>
    </w:p>
    <w:p>
      <w:r>
        <w:rPr>
          <w:rFonts w:ascii="Consolas" w:hAnsi="Consolas"/>
          <w:sz w:val="18"/>
        </w:rPr>
        <w:t>│  ▼ 参考数据             │</w:t>
      </w:r>
    </w:p>
    <w:p>
      <w:r>
        <w:rPr>
          <w:rFonts w:ascii="Consolas" w:hAnsi="Consolas"/>
          <w:sz w:val="18"/>
        </w:rPr>
        <w:t>└──────────────────────┘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四、核心交互流程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用户打开页面</w:t>
      </w:r>
    </w:p>
    <w:p>
      <w:r>
        <w:rPr>
          <w:rFonts w:ascii="Consolas" w:hAnsi="Consolas"/>
          <w:sz w:val="18"/>
        </w:rPr>
        <w:t xml:space="preserve">    │</w:t>
      </w:r>
    </w:p>
    <w:p>
      <w:r>
        <w:rPr>
          <w:rFonts w:ascii="Consolas" w:hAnsi="Consolas"/>
          <w:sz w:val="18"/>
        </w:rPr>
        <w:t xml:space="preserve">    ▼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看到一句话定位 + 输入表单    │</w:t>
      </w:r>
    </w:p>
    <w:p>
      <w:r>
        <w:rPr>
          <w:rFonts w:ascii="Consolas" w:hAnsi="Consolas"/>
          <w:sz w:val="18"/>
        </w:rPr>
        <w:t>│  （默认参数为空，placeholder提示）│</w:t>
      </w:r>
    </w:p>
    <w:p>
      <w:r>
        <w:rPr>
          <w:rFonts w:ascii="Consolas" w:hAnsi="Consolas"/>
          <w:sz w:val="18"/>
        </w:rPr>
        <w:t>└──────────┬──────────────────┘</w:t>
      </w:r>
    </w:p>
    <w:p>
      <w:r>
        <w:rPr>
          <w:rFonts w:ascii="Consolas" w:hAnsi="Consolas"/>
          <w:sz w:val="18"/>
        </w:rPr>
        <w:t xml:space="preserve">           │ 两种操作路径</w:t>
      </w:r>
    </w:p>
    <w:p>
      <w:r>
        <w:rPr>
          <w:rFonts w:ascii="Consolas" w:hAnsi="Consolas"/>
          <w:sz w:val="18"/>
        </w:rPr>
        <w:t xml:space="preserve">     ┌─────┴─────┐</w:t>
      </w:r>
    </w:p>
    <w:p>
      <w:r>
        <w:rPr>
          <w:rFonts w:ascii="Consolas" w:hAnsi="Consolas"/>
          <w:sz w:val="18"/>
        </w:rPr>
        <w:t xml:space="preserve">     ▼           ▼</w:t>
      </w:r>
    </w:p>
    <w:p>
      <w:r>
        <w:rPr>
          <w:rFonts w:ascii="Consolas" w:hAnsi="Consolas"/>
          <w:sz w:val="18"/>
        </w:rPr>
        <w:t>┌─────────┐ ┌───────────────┐</w:t>
      </w:r>
    </w:p>
    <w:p>
      <w:r>
        <w:rPr>
          <w:rFonts w:ascii="Consolas" w:hAnsi="Consolas"/>
          <w:sz w:val="18"/>
        </w:rPr>
        <w:t>│ 手动填参数 │ │ 点击"载入参考" │</w:t>
      </w:r>
    </w:p>
    <w:p>
      <w:r>
        <w:rPr>
          <w:rFonts w:ascii="Consolas" w:hAnsi="Consolas"/>
          <w:sz w:val="18"/>
        </w:rPr>
        <w:t>│ 逐个输入  │ │ 弹出选择菜单   │</w:t>
      </w:r>
    </w:p>
    <w:p>
      <w:r>
        <w:rPr>
          <w:rFonts w:ascii="Consolas" w:hAnsi="Consolas"/>
          <w:sz w:val="18"/>
        </w:rPr>
        <w:t>│ 8项数据  │ │ 克拉玛依/伊吾  │</w:t>
      </w:r>
    </w:p>
    <w:p>
      <w:r>
        <w:rPr>
          <w:rFonts w:ascii="Consolas" w:hAnsi="Consolas"/>
          <w:sz w:val="18"/>
        </w:rPr>
        <w:t>└────┬────┘ └──────┬────────┘</w:t>
      </w:r>
    </w:p>
    <w:p>
      <w:r>
        <w:rPr>
          <w:rFonts w:ascii="Consolas" w:hAnsi="Consolas"/>
          <w:sz w:val="18"/>
        </w:rPr>
        <w:t xml:space="preserve">     │             │</w:t>
      </w:r>
    </w:p>
    <w:p>
      <w:r>
        <w:rPr>
          <w:rFonts w:ascii="Consolas" w:hAnsi="Consolas"/>
          <w:sz w:val="18"/>
        </w:rPr>
        <w:t xml:space="preserve">     └──────┬──────┘</w:t>
      </w:r>
    </w:p>
    <w:p>
      <w:r>
        <w:rPr>
          <w:rFonts w:ascii="Consolas" w:hAnsi="Consolas"/>
          <w:sz w:val="18"/>
        </w:rPr>
        <w:t xml:space="preserve">            ▼</w:t>
      </w:r>
    </w:p>
    <w:p>
      <w:r>
        <w:rPr>
          <w:rFonts w:ascii="Consolas" w:hAnsi="Consolas"/>
          <w:sz w:val="18"/>
        </w:rPr>
        <w:t xml:space="preserve">     ┌────────────────┐</w:t>
      </w:r>
    </w:p>
    <w:p>
      <w:r>
        <w:rPr>
          <w:rFonts w:ascii="Consolas" w:hAnsi="Consolas"/>
          <w:sz w:val="18"/>
        </w:rPr>
        <w:t xml:space="preserve">     │ 点击"开始分析"   │</w:t>
      </w:r>
    </w:p>
    <w:p>
      <w:r>
        <w:rPr>
          <w:rFonts w:ascii="Consolas" w:hAnsi="Consolas"/>
          <w:sz w:val="18"/>
        </w:rPr>
        <w:t xml:space="preserve">     │ → 加载动画       │</w:t>
      </w:r>
    </w:p>
    <w:p>
      <w:r>
        <w:rPr>
          <w:rFonts w:ascii="Consolas" w:hAnsi="Consolas"/>
          <w:sz w:val="18"/>
        </w:rPr>
        <w:t xml:space="preserve">     └────────┬───────┘</w:t>
      </w:r>
    </w:p>
    <w:p>
      <w:r>
        <w:rPr>
          <w:rFonts w:ascii="Consolas" w:hAnsi="Consolas"/>
          <w:sz w:val="18"/>
        </w:rPr>
        <w:t xml:space="preserve">              ▼</w:t>
      </w:r>
    </w:p>
    <w:p>
      <w:r>
        <w:rPr>
          <w:rFonts w:ascii="Consolas" w:hAnsi="Consolas"/>
          <w:sz w:val="18"/>
        </w:rPr>
        <w:t xml:space="preserve">     ┌────────────────────────────────────┐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 xml:space="preserve">     │ 结果区更新（动画过渡 .4s）      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1. 路径标签（大号，彩色背景）         │</w:t>
      </w:r>
    </w:p>
    <w:p>
      <w:r>
        <w:rPr>
          <w:rFonts w:ascii="Consolas" w:hAnsi="Consolas"/>
          <w:sz w:val="18"/>
        </w:rPr>
        <w:t xml:space="preserve">     │    "生态构建型 · 参考：克拉玛依" 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2. 匹配度条形图（双色对比条）          │</w:t>
      </w:r>
    </w:p>
    <w:p>
      <w:r>
        <w:rPr>
          <w:rFonts w:ascii="Consolas" w:hAnsi="Consolas"/>
          <w:sz w:val="18"/>
        </w:rPr>
        <w:t xml:space="preserve">     │    [████████████░░░░]               │</w:t>
      </w:r>
    </w:p>
    <w:p>
      <w:r>
        <w:rPr>
          <w:rFonts w:ascii="Consolas" w:hAnsi="Consolas"/>
          <w:sz w:val="18"/>
        </w:rPr>
        <w:t xml:space="preserve">     │    生态构建 73%      资源转化 27%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3. 四维模型雷达图（ECharts）          │</w:t>
      </w:r>
    </w:p>
    <w:p>
      <w:r>
        <w:rPr>
          <w:rFonts w:ascii="Consolas" w:hAnsi="Consolas"/>
          <w:sz w:val="18"/>
        </w:rPr>
        <w:t xml:space="preserve">     │    用户 vs 克拉玛依 vs 伊吾     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4. 参数对比柱状图（ECharts）          │</w:t>
      </w:r>
    </w:p>
    <w:p>
      <w:r>
        <w:rPr>
          <w:rFonts w:ascii="Consolas" w:hAnsi="Consolas"/>
          <w:sz w:val="18"/>
        </w:rPr>
        <w:t xml:space="preserve">     │    你的值 / 克拉玛依 / 伊吾      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5. 💡 发展建议（蓝底列表）            │</w:t>
      </w:r>
    </w:p>
    <w:p>
      <w:r>
        <w:rPr>
          <w:rFonts w:ascii="Consolas" w:hAnsi="Consolas"/>
          <w:sz w:val="18"/>
        </w:rPr>
        <w:t xml:space="preserve">     │ 6. ⚠️ 风险提示（橙底列表）            │</w:t>
      </w:r>
    </w:p>
    <w:p>
      <w:r>
        <w:rPr>
          <w:rFonts w:ascii="Consolas" w:hAnsi="Consolas"/>
          <w:sz w:val="18"/>
        </w:rPr>
        <w:t xml:space="preserve">     │                                     │</w:t>
      </w:r>
    </w:p>
    <w:p>
      <w:r>
        <w:rPr>
          <w:rFonts w:ascii="Consolas" w:hAnsi="Consolas"/>
          <w:sz w:val="18"/>
        </w:rPr>
        <w:t xml:space="preserve">     │ 7. ▼ 参考案例数据（可折叠表格）       │</w:t>
      </w:r>
    </w:p>
    <w:p>
      <w:r>
        <w:rPr>
          <w:rFonts w:ascii="Consolas" w:hAnsi="Consolas"/>
          <w:sz w:val="18"/>
        </w:rPr>
        <w:t xml:space="preserve">     └────────────────────────────────────┘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│</w:t>
      </w:r>
    </w:p>
    <w:p>
      <w:r>
        <w:rPr>
          <w:rFonts w:ascii="Consolas" w:hAnsi="Consolas"/>
          <w:sz w:val="18"/>
        </w:rPr>
        <w:t xml:space="preserve">              ▼</w:t>
      </w:r>
    </w:p>
    <w:p>
      <w:r>
        <w:rPr>
          <w:rFonts w:ascii="Consolas" w:hAnsi="Consolas"/>
          <w:sz w:val="18"/>
        </w:rPr>
        <w:t xml:space="preserve">     ┌────────────────┐</w:t>
      </w:r>
    </w:p>
    <w:p>
      <w:r>
        <w:rPr>
          <w:rFonts w:ascii="Consolas" w:hAnsi="Consolas"/>
          <w:sz w:val="18"/>
        </w:rPr>
        <w:t xml:space="preserve">     │ 用户可调整参数     │</w:t>
      </w:r>
    </w:p>
    <w:p>
      <w:r>
        <w:rPr>
          <w:rFonts w:ascii="Consolas" w:hAnsi="Consolas"/>
          <w:sz w:val="18"/>
        </w:rPr>
        <w:t xml:space="preserve">     │ → 结果实时更新    │</w:t>
      </w:r>
    </w:p>
    <w:p>
      <w:r>
        <w:rPr>
          <w:rFonts w:ascii="Consolas" w:hAnsi="Consolas"/>
          <w:sz w:val="18"/>
        </w:rPr>
        <w:t xml:space="preserve">     │（无需重新点击分析） │</w:t>
      </w:r>
    </w:p>
    <w:p>
      <w:r>
        <w:rPr>
          <w:rFonts w:ascii="Consolas" w:hAnsi="Consolas"/>
          <w:sz w:val="18"/>
        </w:rPr>
        <w:t xml:space="preserve">     └────────────────┘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五、图表规划</w:t>
      </w:r>
    </w:p>
    <w:p>
      <w:pPr>
        <w:pStyle w:val="Heading3"/>
      </w:pPr>
      <w:r>
        <w:t>5.1 雷达图（四维模型可视化）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用途：展示用户在四维模型三个维度上的得分 vs 两个基准案例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类型：ECharts 雷达图（radar）</w:t>
      </w:r>
    </w:p>
    <w:p>
      <w:r>
        <w:rPr>
          <w:rFonts w:ascii="Consolas" w:hAnsi="Consolas"/>
          <w:sz w:val="18"/>
        </w:rPr>
        <w:t>数据系列：3条（用户 / 克拉玛依 / 伊吾）</w:t>
      </w:r>
    </w:p>
    <w:p>
      <w:r>
        <w:rPr>
          <w:rFonts w:ascii="Consolas" w:hAnsi="Consolas"/>
          <w:sz w:val="18"/>
        </w:rPr>
        <w:t>维度轴：资源转化、公共支撑、生态构建</w:t>
      </w:r>
    </w:p>
    <w:p>
      <w:r>
        <w:rPr>
          <w:rFonts w:ascii="Consolas" w:hAnsi="Consolas"/>
          <w:sz w:val="18"/>
        </w:rPr>
        <w:t>颜色：用户=橙 #F07A00，克拉玛依=蓝 #005FC8，伊吾=绿 #00A07A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交互：鼠标悬停显示具体数值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5.2 柱状图（参数对比）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用途：8个参数逐一对比用户 vs 两个基准案例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类型：ECharts 分组柱状图（bar）</w:t>
      </w:r>
    </w:p>
    <w:p>
      <w:r>
        <w:rPr>
          <w:rFonts w:ascii="Consolas" w:hAnsi="Consolas"/>
          <w:sz w:val="18"/>
        </w:rPr>
        <w:t>数据系列：3组（用户 / 克拉玛依 / 伊吾）</w:t>
      </w:r>
    </w:p>
    <w:p>
      <w:r>
        <w:rPr>
          <w:rFonts w:ascii="Consolas" w:hAnsi="Consolas"/>
          <w:sz w:val="18"/>
        </w:rPr>
        <w:t>X轴：8个参数名称</w:t>
      </w:r>
    </w:p>
    <w:p>
      <w:r>
        <w:rPr>
          <w:rFonts w:ascii="Consolas" w:hAnsi="Consolas"/>
          <w:sz w:val="18"/>
        </w:rPr>
        <w:t>颜色：同上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交互：点击柱体可查看具体数值</w:t>
      </w:r>
    </w:p>
    <w:p>
      <w:r>
        <w:rPr>
          <w:rFonts w:ascii="Consolas" w:hAnsi="Consolas"/>
          <w:sz w:val="18"/>
        </w:rPr>
        <w:t>标注：每个柱体上方标具体数字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5.3 匹配度条形图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用途：直观展示两种路径的匹配百分比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类型：纯CSS双色进度条</w:t>
      </w:r>
    </w:p>
    <w:p>
      <w:r>
        <w:rPr>
          <w:rFonts w:ascii="Consolas" w:hAnsi="Consolas"/>
          <w:sz w:val="18"/>
        </w:rPr>
        <w:t>左半：生态构建型（蓝渐变）</w:t>
      </w:r>
    </w:p>
    <w:p>
      <w:r>
        <w:rPr>
          <w:rFonts w:ascii="Consolas" w:hAnsi="Consolas"/>
          <w:sz w:val="18"/>
        </w:rPr>
        <w:t>右半：资源转化型（绿渐变）</w:t>
      </w:r>
    </w:p>
    <w:p>
      <w:r>
        <w:rPr>
          <w:rFonts w:ascii="Consolas" w:hAnsi="Consolas"/>
          <w:sz w:val="18"/>
        </w:rPr>
        <w:t>中间：百分比数字标注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六、关键交互细节</w:t>
      </w:r>
    </w:p>
    <w:p>
      <w:pPr>
        <w:pStyle w:val="Heading3"/>
      </w:pPr>
      <w:r>
        <w:t>6.1 参数输入的即时反馈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每个输入框变化时：</w:t>
      </w:r>
    </w:p>
    <w:p>
      <w:r>
        <w:rPr>
          <w:rFonts w:ascii="Consolas" w:hAnsi="Consolas"/>
          <w:sz w:val="18"/>
        </w:rPr>
        <w:t xml:space="preserve">  1. 右侧数值标签实时更新</w:t>
      </w:r>
    </w:p>
    <w:p>
      <w:r>
        <w:rPr>
          <w:rFonts w:ascii="Consolas" w:hAnsi="Consolas"/>
          <w:sz w:val="18"/>
        </w:rPr>
        <w:t xml:space="preserve">  2. 表单底色轻微闪烁（.2s过渡）</w:t>
      </w:r>
    </w:p>
    <w:p>
      <w:r>
        <w:rPr>
          <w:rFonts w:ascii="Consolas" w:hAnsi="Consolas"/>
          <w:sz w:val="18"/>
        </w:rPr>
        <w:t xml:space="preserve">  3. 输入有效性实时校验（范围外显示红色提示）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优化：不用点按钮，参数变化→结果自动重算（debounce 500ms）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6.2 "载入参考"交互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点击"载入参考"→ 弹出下拉菜单</w:t>
      </w:r>
    </w:p>
    <w:p>
      <w:r>
        <w:rPr>
          <w:rFonts w:ascii="Consolas" w:hAnsi="Consolas"/>
          <w:sz w:val="18"/>
        </w:rPr>
        <w:t xml:space="preserve">  ├── 载入克拉玛依数据（自动填入并分析）</w:t>
      </w:r>
    </w:p>
    <w:p>
      <w:r>
        <w:rPr>
          <w:rFonts w:ascii="Consolas" w:hAnsi="Consolas"/>
          <w:sz w:val="18"/>
        </w:rPr>
        <w:t xml:space="preserve">  └── 载入伊吾数据（自动填入并分析）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选中后：</w:t>
      </w:r>
    </w:p>
    <w:p>
      <w:r>
        <w:rPr>
          <w:rFonts w:ascii="Consolas" w:hAnsi="Consolas"/>
          <w:sz w:val="18"/>
        </w:rPr>
        <w:t xml:space="preserve">  1. 所有输入框瞬间填入对应数据（动画过渡）</w:t>
      </w:r>
    </w:p>
    <w:p>
      <w:r>
        <w:rPr>
          <w:rFonts w:ascii="Consolas" w:hAnsi="Consolas"/>
          <w:sz w:val="18"/>
        </w:rPr>
        <w:t xml:space="preserve">  2. 结果区自动更新</w:t>
      </w:r>
    </w:p>
    <w:p>
      <w:r>
        <w:rPr>
          <w:rFonts w:ascii="Consolas" w:hAnsi="Consolas"/>
          <w:sz w:val="18"/>
        </w:rPr>
        <w:t xml:space="preserve">  3. 输入框高亮显示"已加载参考数据"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6.3 结果区动画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分析完成后：</w:t>
      </w:r>
    </w:p>
    <w:p>
      <w:r>
        <w:rPr>
          <w:rFonts w:ascii="Consolas" w:hAnsi="Consolas"/>
          <w:sz w:val="18"/>
        </w:rPr>
        <w:t xml:space="preserve">  1. 路径标签：从上方滑入（.3s）</w:t>
      </w:r>
    </w:p>
    <w:p>
      <w:r>
        <w:rPr>
          <w:rFonts w:ascii="Consolas" w:hAnsi="Consolas"/>
          <w:sz w:val="18"/>
        </w:rPr>
        <w:t xml:space="preserve">  2. 匹配度条：从左到右填充（.5s）</w:t>
      </w:r>
    </w:p>
    <w:p>
      <w:r>
        <w:rPr>
          <w:rFonts w:ascii="Consolas" w:hAnsi="Consolas"/>
          <w:sz w:val="18"/>
        </w:rPr>
        <w:t xml:space="preserve">  3. 雷达图：ECharts自带入场动画</w:t>
      </w:r>
    </w:p>
    <w:p>
      <w:r>
        <w:rPr>
          <w:rFonts w:ascii="Consolas" w:hAnsi="Consolas"/>
          <w:sz w:val="18"/>
        </w:rPr>
        <w:t xml:space="preserve">  4. 建议列表：逐条淡入（每条间隔.1s）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6.4 可折叠参考案例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结果区底部：</w:t>
      </w:r>
    </w:p>
    <w:p>
      <w:r>
        <w:rPr>
          <w:rFonts w:ascii="Consolas" w:hAnsi="Consolas"/>
          <w:sz w:val="18"/>
        </w:rPr>
        <w:t xml:space="preserve">  "📖 查看克拉玛依 vs 伊吾完整数据对比"</w:t>
      </w:r>
    </w:p>
    <w:p>
      <w:r>
        <w:rPr>
          <w:rFonts w:ascii="Consolas" w:hAnsi="Consolas"/>
          <w:sz w:val="18"/>
        </w:rPr>
        <w:t xml:space="preserve">  点击展开一个带格式的对比表格</w:t>
      </w:r>
    </w:p>
    <w:p>
      <w:r>
        <w:rPr>
          <w:rFonts w:ascii="Consolas" w:hAnsi="Consolas"/>
          <w:sz w:val="18"/>
        </w:rPr>
        <w:t xml:space="preserve">  包含：行政层级/财政/企业/电价/PUE/算力等15项对比</w:t>
      </w:r>
    </w:p>
    <w:p>
      <w:r>
        <w:rPr>
          <w:rFonts w:ascii="Consolas" w:hAnsi="Consolas"/>
          <w:sz w:val="18"/>
        </w:rPr>
        <w:t xml:space="preserve">  每项数据旁边标注来源等级[A/B/C]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七、数据来源标注方式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所有显示的数据旁标注可信度等级：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"一般公共预算收入：122.2亿元 [A]"</w:t>
      </w:r>
    </w:p>
    <w:p>
      <w:r>
        <w:rPr>
          <w:rFonts w:ascii="Consolas" w:hAnsi="Consolas"/>
          <w:sz w:val="18"/>
        </w:rPr>
        <w:t xml:space="preserve">  "智能算力规模：17,000P [A]"  </w:t>
      </w:r>
    </w:p>
    <w:p>
      <w:r>
        <w:rPr>
          <w:rFonts w:ascii="Consolas" w:hAnsi="Consolas"/>
          <w:sz w:val="18"/>
        </w:rPr>
        <w:t xml:space="preserve">  "入驻企业：185家 [B]"</w:t>
      </w:r>
    </w:p>
    <w:p>
      <w:r>
        <w:rPr>
          <w:rFonts w:ascii="Consolas" w:hAnsi="Consolas"/>
          <w:sz w:val="18"/>
        </w:rPr>
        <w:t xml:space="preserve">  "应用场景：7类 [C]"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图例：</w:t>
      </w:r>
    </w:p>
    <w:p>
      <w:r>
        <w:rPr>
          <w:rFonts w:ascii="Consolas" w:hAnsi="Consolas"/>
          <w:sz w:val="18"/>
        </w:rPr>
        <w:t xml:space="preserve">  [A] = 官方统计数据</w:t>
      </w:r>
    </w:p>
    <w:p>
      <w:r>
        <w:rPr>
          <w:rFonts w:ascii="Consolas" w:hAnsi="Consolas"/>
          <w:sz w:val="18"/>
        </w:rPr>
        <w:t xml:space="preserve">  [B] = 政府公告/工作报告</w:t>
      </w:r>
    </w:p>
    <w:p>
      <w:r>
        <w:rPr>
          <w:rFonts w:ascii="Consolas" w:hAnsi="Consolas"/>
          <w:sz w:val="18"/>
        </w:rPr>
        <w:t xml:space="preserve">  [C] = 归纳推断值（基于公开资料）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八、手机端特殊处理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输入优化：</w:t>
      </w:r>
    </w:p>
    <w:p>
      <w:r>
        <w:rPr>
          <w:rFonts w:ascii="Consolas" w:hAnsi="Consolas"/>
          <w:sz w:val="18"/>
        </w:rPr>
        <w:t xml:space="preserve">  - 数字键盘（inputmode="decimal"）</w:t>
      </w:r>
    </w:p>
    <w:p>
      <w:r>
        <w:rPr>
          <w:rFonts w:ascii="Consolas" w:hAnsi="Consolas"/>
          <w:sz w:val="18"/>
        </w:rPr>
        <w:t xml:space="preserve">  - 输入框高度加大（48px+）方便触屏</w:t>
      </w:r>
    </w:p>
    <w:p>
      <w:r>
        <w:rPr>
          <w:rFonts w:ascii="Consolas" w:hAnsi="Consolas"/>
          <w:sz w:val="18"/>
        </w:rPr>
        <w:t xml:space="preserve">  - 滑块替代数字输入（可选模式）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布局调整：</w:t>
      </w:r>
    </w:p>
    <w:p>
      <w:r>
        <w:rPr>
          <w:rFonts w:ascii="Consolas" w:hAnsi="Consolas"/>
          <w:sz w:val="18"/>
        </w:rPr>
        <w:t xml:space="preserve">  - 输入区和结果区改为上下排列</w:t>
      </w:r>
    </w:p>
    <w:p>
      <w:r>
        <w:rPr>
          <w:rFonts w:ascii="Consolas" w:hAnsi="Consolas"/>
          <w:sz w:val="18"/>
        </w:rPr>
        <w:t xml:space="preserve">  - 结果区在输入区下方</w:t>
      </w:r>
    </w:p>
    <w:p>
      <w:r>
        <w:rPr>
          <w:rFonts w:ascii="Consolas" w:hAnsi="Consolas"/>
          <w:sz w:val="18"/>
        </w:rPr>
        <w:t xml:space="preserve">  - 图表缩小但保持可读性</w:t>
      </w:r>
    </w:p>
    <w:p>
      <w:r>
        <w:rPr>
          <w:rFonts w:ascii="Consolas" w:hAnsi="Consolas"/>
          <w:sz w:val="18"/>
        </w:rPr>
        <w:t xml:space="preserve">  - 操作按钮加大（min 44px touch target）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性能：</w:t>
      </w:r>
    </w:p>
    <w:p>
      <w:r>
        <w:rPr>
          <w:rFonts w:ascii="Consolas" w:hAnsi="Consolas"/>
          <w:sz w:val="18"/>
        </w:rPr>
        <w:t xml:space="preserve">  - ECharts配置responsive自适应</w:t>
      </w:r>
    </w:p>
    <w:p>
      <w:r>
        <w:rPr>
          <w:rFonts w:ascii="Consolas" w:hAnsi="Consolas"/>
          <w:sz w:val="18"/>
        </w:rPr>
        <w:t xml:space="preserve">  - 禁用动画（移动端）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九、技术实现方案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技术栈：纯HTML + CSS + JS + ECharts</w:t>
      </w:r>
    </w:p>
    <w:p>
      <w:r>
        <w:rPr>
          <w:rFonts w:ascii="Consolas" w:hAnsi="Consolas"/>
          <w:sz w:val="18"/>
        </w:rPr>
        <w:t>文件结构：</w:t>
      </w:r>
    </w:p>
    <w:p>
      <w:r>
        <w:rPr>
          <w:rFonts w:ascii="Consolas" w:hAnsi="Consolas"/>
          <w:sz w:val="18"/>
        </w:rPr>
        <w:t xml:space="preserve">  index.html     → 主页面（含HTML结构 + CSS + JS）</w:t>
      </w:r>
    </w:p>
    <w:p>
      <w:r>
        <w:rPr>
          <w:rFonts w:ascii="Consolas" w:hAnsi="Consolas"/>
          <w:sz w:val="18"/>
        </w:rPr>
        <w:t xml:space="preserve">  （所有代码在一个文件中方便修改）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外部依赖：</w:t>
      </w:r>
    </w:p>
    <w:p>
      <w:r>
        <w:rPr>
          <w:rFonts w:ascii="Consolas" w:hAnsi="Consolas"/>
          <w:sz w:val="18"/>
        </w:rPr>
        <w:t xml:space="preserve">  ECharts CDN → https://cdn.jsdelivr.net/npm/echarts@5/dist/echarts.min.js</w:t>
      </w:r>
    </w:p>
    <w:p>
      <w:r>
        <w:rPr>
          <w:rFonts w:ascii="Consolas" w:hAnsi="Consolas"/>
          <w:sz w:val="18"/>
        </w:rPr>
        <w:t xml:space="preserve">  （百度产品，中国可访问）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核心算法：TOPSIS（内嵌在JS中）</w:t>
      </w:r>
    </w:p>
    <w:p>
      <w:r>
        <w:rPr>
          <w:rFonts w:ascii="Consolas" w:hAnsi="Consolas"/>
          <w:sz w:val="18"/>
        </w:rPr>
        <w:t>数据：所有数据硬编码在JS中（data.js结构）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无需：</w:t>
      </w:r>
    </w:p>
    <w:p>
      <w:r>
        <w:rPr>
          <w:rFonts w:ascii="Consolas" w:hAnsi="Consolas"/>
          <w:sz w:val="18"/>
        </w:rPr>
        <w:t xml:space="preserve">  × 无npm/node</w:t>
      </w:r>
    </w:p>
    <w:p>
      <w:r>
        <w:rPr>
          <w:rFonts w:ascii="Consolas" w:hAnsi="Consolas"/>
          <w:sz w:val="18"/>
        </w:rPr>
        <w:t xml:space="preserve">  × 无数据库</w:t>
      </w:r>
    </w:p>
    <w:p>
      <w:r>
        <w:rPr>
          <w:rFonts w:ascii="Consolas" w:hAnsi="Consolas"/>
          <w:sz w:val="18"/>
        </w:rPr>
        <w:t xml:space="preserve">  × 无后端</w:t>
      </w:r>
    </w:p>
    <w:p>
      <w:r>
        <w:rPr>
          <w:rFonts w:ascii="Consolas" w:hAnsi="Consolas"/>
          <w:sz w:val="18"/>
        </w:rPr>
        <w:t xml:space="preserve">  × 无构建步骤</w:t>
      </w:r>
    </w:p>
    <w:p>
      <w:r>
        <w:rPr>
          <w:rFonts w:ascii="Consolas" w:hAnsi="Consolas"/>
          <w:sz w:val="18"/>
        </w:rPr>
        <w:t xml:space="preserve">  × 无框架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r>
        <w:rPr>
          <w:i/>
          <w:color w:val="646464"/>
        </w:rPr>
        <w:t>确认此方案后，开始执行开发</w:t>
      </w:r>
    </w:p>
    <w:p>
      <w:r>
        <w:t>――――――――――――――――――――――――――――――</w:t>
      </w:r>
    </w:p>
    <w:p>
      <w:pPr>
        <w:pStyle w:val="Heading1"/>
      </w:pPr>
      <w:r>
        <w:t>附：网站使用说明</w:t>
      </w:r>
    </w:p>
    <w:p>
      <w:pPr>
        <w:pStyle w:val="Heading1"/>
      </w:pPr>
      <w:r>
        <w:t>绿算治策 · 网站使用说明</w:t>
      </w:r>
    </w:p>
    <w:p>
      <w:r>
        <w:rPr>
          <w:i/>
          <w:color w:val="646464"/>
        </w:rPr>
        <w:t>用途：帮助用户理解网站的使用方法、功能流程和结果解读</w:t>
      </w:r>
    </w:p>
    <w:p>
      <w:r>
        <w:rPr>
          <w:i/>
          <w:color w:val="646464"/>
        </w:rPr>
        <w:t>目标用户：地方政府工作人员、参赛评委、对绿色算力规划感兴趣的研究者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一、网站是什么</w:t>
      </w:r>
    </w:p>
    <w:p>
      <w:r>
        <w:t>**绿算治策**是一个绿色算力产业治理决策辅助工具。</w:t>
      </w:r>
    </w:p>
    <w:p>
      <w:r>
        <w:t>它的作用是：**你输入你所在地区的8项基本数据，它帮你判断最适合走哪种发展路径，并告诉你应该优先做什么。**</w:t>
      </w:r>
    </w:p>
    <w:p>
      <w:r>
        <w:t>它基于两个真实案例的研究成果：</w:t>
      </w:r>
    </w:p>
    <w:p>
      <w:pPr>
        <w:pStyle w:val="ListBullet"/>
      </w:pPr>
      <w:r>
        <w:t>**克拉玛依**（生态构建型路径）</w:t>
      </w:r>
    </w:p>
    <w:p>
      <w:pPr>
        <w:pStyle w:val="ListBullet"/>
      </w:pPr>
      <w:r>
        <w:t>**伊吾**（资源转化型路径）</w:t>
      </w:r>
    </w:p>
    <w:p>
      <w:r>
        <w:t>你不需要懂算法，也不需要看原始数据，只需要填数字，网站自动出结果。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二、使用流程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第一步：打开网站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第二步：输入地区名称，然后填写8项参数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第三步：点击「生成产业评估报告」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第四步：查看路径判定、四维评分、维度可视化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第五步：查看第4部分「发展建议」和风险提示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第六步（可选）：点击「导出报告」选择 Word 或 PDF 格式下载</w:t>
      </w:r>
    </w:p>
    <w:p>
      <w:r>
        <w:rPr>
          <w:rFonts w:ascii="Consolas" w:hAnsi="Consolas"/>
          <w:sz w:val="18"/>
        </w:rPr>
        <w:t xml:space="preserve">      ↓</w:t>
      </w:r>
    </w:p>
    <w:p>
      <w:r>
        <w:rPr>
          <w:rFonts w:ascii="Consolas" w:hAnsi="Consolas"/>
          <w:sz w:val="18"/>
        </w:rPr>
        <w:t>第七步（可选）：展开完整对比表查看参数明细</w:t>
      </w:r>
    </w:p>
    <w:p>
      <w:pPr>
        <w:jc w:val="left"/>
      </w:pPr>
      <w:r>
        <w:rPr>
          <w:color w:val="646464"/>
          <w:sz w:val="18"/>
        </w:rPr>
      </w:r>
    </w:p>
    <w:p>
      <w:r>
        <w:t>**第一步：打开网站**</w:t>
      </w:r>
    </w:p>
    <w:p>
      <w:r>
        <w:t>在浏览器打开绿算治策页面即可，无需注册或登录。</w:t>
      </w:r>
    </w:p>
    <w:p>
      <w:r>
        <w:t>**第二步：填写8项参数**</w:t>
      </w:r>
    </w:p>
    <w:p>
      <w:r>
        <w:t>在左侧输入区依次填写8个数字，每个输入框右侧有单位提示（亿元、家、%等）和填写说明。如果某些数据不确定，可以参考"载入参考"功能看两个案例的数据是多少。</w:t>
      </w:r>
    </w:p>
    <w:p>
      <w:r>
        <w:t>**第三步：点击"开始分析"**</w:t>
      </w:r>
    </w:p>
    <w:p>
      <w:r>
        <w:t>填写完所有参数后，点击蓝色"开始分析"按钮。</w:t>
      </w:r>
    </w:p>
    <w:p>
      <w:r>
        <w:t>**第四步：查看结果**</w:t>
      </w:r>
    </w:p>
    <w:p>
      <w:r>
        <w:t>右侧结果区会显示：</w:t>
      </w:r>
    </w:p>
    <w:p>
      <w:r>
        <w:t>1. 判定你适合的路径类型</w:t>
      </w:r>
    </w:p>
    <w:p>
      <w:r>
        <w:t>2. 与两种路径的匹配度百分比</w:t>
      </w:r>
    </w:p>
    <w:p>
      <w:r>
        <w:t>3. 你的各项参数与参考案例的对比</w:t>
      </w:r>
    </w:p>
    <w:p>
      <w:r>
        <w:t>4. 针对性发展建议</w:t>
      </w:r>
    </w:p>
    <w:p>
      <w:r>
        <w:t>5. 风险提示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三、页面功能分区</w:t>
      </w:r>
    </w:p>
    <w:p>
      <w:pPr>
        <w:pStyle w:val="Heading3"/>
      </w:pPr>
      <w:r>
        <w:t>3.1 顶部导航栏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左侧：项目名称"绿算治策"</w:t>
      </w:r>
    </w:p>
    <w:p>
      <w:r>
        <w:rPr>
          <w:rFonts w:ascii="Consolas" w:hAnsi="Consolas"/>
          <w:sz w:val="18"/>
        </w:rPr>
        <w:t>右侧：参赛标识"中国国际大学生创新大赛（2026）"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3.2 左侧：参数输入区</w:t>
      </w:r>
    </w:p>
    <w:p>
      <w:r>
        <w:t>包含8个数字输入框，每个输入框对应一个维度。</w:t>
      </w:r>
    </w:p>
    <w:p>
      <w:r>
        <w:t>**每个输入框包含：**</w:t>
      </w:r>
    </w:p>
    <w:p>
      <w:pPr>
        <w:pStyle w:val="ListBullet"/>
      </w:pPr>
      <w:r>
        <w:t>参数名称（如"行政层级指数"）</w:t>
      </w:r>
    </w:p>
    <w:p>
      <w:pPr>
        <w:pStyle w:val="ListBullet"/>
      </w:pPr>
      <w:r>
        <w:t>当前输入值（实时显示）</w:t>
      </w:r>
    </w:p>
    <w:p>
      <w:pPr>
        <w:pStyle w:val="ListBullet"/>
      </w:pPr>
      <w:r>
        <w:t>单位（如"亿元"、"家"、"元/度"）</w:t>
      </w:r>
    </w:p>
    <w:p>
      <w:pPr>
        <w:pStyle w:val="ListBullet"/>
      </w:pPr>
      <w:r>
        <w:t>快捷参考提示（最小值、最大值）</w:t>
      </w:r>
    </w:p>
    <w:p>
      <w:r>
        <w:t>**关于"载入参考"按钮：**</w:t>
      </w:r>
    </w:p>
    <w:p>
      <w:pPr>
        <w:pStyle w:val="ListBullet"/>
      </w:pPr>
      <w:r>
        <w:t>"载入参考：克拉玛依" → 一键填入克拉玛依的真实数据</w:t>
      </w:r>
    </w:p>
    <w:p>
      <w:pPr>
        <w:pStyle w:val="ListBullet"/>
      </w:pPr>
      <w:r>
        <w:t>"载入参考：伊吾" → 一键填入伊吾的真实数据</w:t>
      </w:r>
    </w:p>
    <w:p>
      <w:pPr>
        <w:pStyle w:val="ListBullet"/>
      </w:pPr>
      <w:r>
        <w:t>这两个按钮的作用是**给用户参考**，看看真实的城市数据是多少</w:t>
      </w:r>
    </w:p>
    <w:p>
      <w:pPr>
        <w:pStyle w:val="ListBullet"/>
      </w:pPr>
      <w:r>
        <w:t>点击后会自动填入数据并自动分析</w:t>
      </w:r>
    </w:p>
    <w:p>
      <w:pPr>
        <w:pStyle w:val="Heading3"/>
      </w:pPr>
      <w:r>
        <w:t>3.3 右侧：结果展示区</w:t>
      </w:r>
    </w:p>
    <w:p>
      <w:r>
        <w:t>默认显示引导文案，点击"开始分析"后显示分析结果。</w:t>
      </w:r>
    </w:p>
    <w:p>
      <w:r>
        <w:t>**结果包含：**</w:t>
      </w:r>
    </w:p>
    <w:p>
      <w:r>
        <w:t>1. **路径标签**：生态构建型 / 资源转化型 / 混合型</w:t>
      </w:r>
    </w:p>
    <w:p>
      <w:r>
        <w:t>2. **路径说明**：用一句话解释这条路径是什么</w:t>
      </w:r>
    </w:p>
    <w:p>
      <w:r>
        <w:t>3. **相似度进度条**：两条彩条，显示你和克拉玛依的相似度、和伊吾的相似度</w:t>
      </w:r>
    </w:p>
    <w:p>
      <w:r>
        <w:t>4. **参数对比表**：你的8项参数 vs 两个参考案例</w:t>
      </w:r>
    </w:p>
    <w:p>
      <w:r>
        <w:t>5. **发展建议**：针对你匹配的路径给出的具体行动建议</w:t>
      </w:r>
    </w:p>
    <w:p>
      <w:r>
        <w:t>6. **风险提示**：走这条路需要注意什么</w:t>
      </w:r>
    </w:p>
    <w:p>
      <w:r>
        <w:t>7. **参考案例折叠区**：点开可查看克拉玛依和伊吾的详细数据对比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四、结果解读指南</w:t>
      </w:r>
    </w:p>
    <w:p>
      <w:pPr>
        <w:pStyle w:val="Heading3"/>
      </w:pPr>
      <w:r>
        <w:t>4.1 看懂路径判定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结果示例：生态构建型（以克拉玛依为参考）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是什么意思：</w:t>
      </w:r>
    </w:p>
    <w:p>
      <w:r>
        <w:rPr>
          <w:rFonts w:ascii="Consolas" w:hAnsi="Consolas"/>
          <w:sz w:val="18"/>
        </w:rPr>
        <w:t xml:space="preserve">  你的地区条件与克拉玛依更接近</w:t>
      </w:r>
    </w:p>
    <w:p>
      <w:r>
        <w:rPr>
          <w:rFonts w:ascii="Consolas" w:hAnsi="Consolas"/>
          <w:sz w:val="18"/>
        </w:rPr>
        <w:t xml:space="preserve">  适合走"政府主导+全链条生态培育"的路子</w:t>
      </w:r>
    </w:p>
    <w:p>
      <w:r>
        <w:rPr>
          <w:rFonts w:ascii="Consolas" w:hAnsi="Consolas"/>
          <w:sz w:val="18"/>
        </w:rPr>
        <w:t xml:space="preserve">  建议重点做：产业基金、场景开放、政策工具箱、人才引进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4.2 看懂相似度进度条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示例：</w:t>
      </w:r>
    </w:p>
    <w:p>
      <w:r>
        <w:rPr>
          <w:rFonts w:ascii="Consolas" w:hAnsi="Consolas"/>
          <w:sz w:val="18"/>
        </w:rPr>
        <w:t xml:space="preserve">  🌳 生态构建型 73%  │██████████████████│  ⚡ 资源转化型 27%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怎么理解：</w:t>
      </w:r>
    </w:p>
    <w:p>
      <w:r>
        <w:rPr>
          <w:rFonts w:ascii="Consolas" w:hAnsi="Consolas"/>
          <w:sz w:val="18"/>
        </w:rPr>
        <w:t xml:space="preserve">  73% → 你的数据和克拉玛依有73%的相似度</w:t>
      </w:r>
    </w:p>
    <w:p>
      <w:r>
        <w:rPr>
          <w:rFonts w:ascii="Consolas" w:hAnsi="Consolas"/>
          <w:sz w:val="18"/>
        </w:rPr>
        <w:t xml:space="preserve">  27% → 你的数据和伊吾有27%的相似度</w:t>
      </w:r>
    </w:p>
    <w:p>
      <w:r>
        <w:rPr>
          <w:rFonts w:ascii="Consolas" w:hAnsi="Consolas"/>
          <w:sz w:val="18"/>
        </w:rPr>
        <w:t xml:space="preserve">  结论：你更适合走生态构建型路径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4.3 看懂参数对比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参数对比表（示例）：</w:t>
      </w:r>
    </w:p>
    <w:p>
      <w:r>
        <w:rPr>
          <w:rFonts w:ascii="Consolas" w:hAnsi="Consolas"/>
          <w:sz w:val="18"/>
        </w:rPr>
        <w:t xml:space="preserve">  ┌─────────────────────┬──────┬──────────┬─────────┐</w:t>
      </w:r>
    </w:p>
    <w:p>
      <w:r>
        <w:rPr>
          <w:rFonts w:ascii="Consolas" w:hAnsi="Consolas"/>
          <w:sz w:val="18"/>
        </w:rPr>
        <w:t xml:space="preserve">  │      维度          │ 你的值 │ 克拉玛依 │  伊吾   │</w:t>
      </w:r>
    </w:p>
    <w:p>
      <w:r>
        <w:rPr>
          <w:rFonts w:ascii="Consolas" w:hAnsi="Consolas"/>
          <w:sz w:val="18"/>
        </w:rPr>
        <w:t xml:space="preserve">  ├─────────────────────┼──────┼──────────┼─────────┤</w:t>
      </w:r>
    </w:p>
    <w:p>
      <w:r>
        <w:rPr>
          <w:rFonts w:ascii="Consolas" w:hAnsi="Consolas"/>
          <w:sz w:val="18"/>
        </w:rPr>
        <w:t xml:space="preserve">  │ 年可支配财政(亿元)  │  80  │   120    │   10    │</w:t>
      </w:r>
    </w:p>
    <w:p>
      <w:r>
        <w:rPr>
          <w:rFonts w:ascii="Consolas" w:hAnsi="Consolas"/>
          <w:sz w:val="18"/>
        </w:rPr>
        <w:t xml:space="preserve">  └─────────────────────┴──────┴──────────┴─────────┘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怎么理解：</w:t>
      </w:r>
    </w:p>
    <w:p>
      <w:r>
        <w:rPr>
          <w:rFonts w:ascii="Consolas" w:hAnsi="Consolas"/>
          <w:sz w:val="18"/>
        </w:rPr>
        <w:t xml:space="preserve">  你的财政收入80亿，低于克拉玛依的120亿，但远高于伊吾的10亿</w:t>
      </w:r>
    </w:p>
    <w:p>
      <w:r>
        <w:rPr>
          <w:rFonts w:ascii="Consolas" w:hAnsi="Consolas"/>
          <w:sz w:val="18"/>
        </w:rPr>
        <w:t xml:space="preserve">  说明：你虽然不如克拉玛依有钱，但比伊吾好得多 → 可能走介于两者之间的路线</w:t>
      </w:r>
    </w:p>
    <w:p>
      <w:pPr>
        <w:jc w:val="left"/>
      </w:pPr>
      <w:r>
        <w:rPr>
          <w:color w:val="646464"/>
          <w:sz w:val="18"/>
        </w:rPr>
      </w:r>
    </w:p>
    <w:p>
      <w:pPr>
        <w:pStyle w:val="Heading3"/>
      </w:pPr>
      <w:r>
        <w:t>4.4 看懂建议和风险</w:t>
      </w:r>
    </w:p>
    <w:p>
      <w:pPr>
        <w:jc w:val="left"/>
      </w:pPr>
      <w:r>
        <w:rPr>
          <w:color w:val="646464"/>
          <w:sz w:val="18"/>
        </w:rPr>
        <w:t>```</w:t>
      </w:r>
    </w:p>
    <w:p>
      <w:r>
        <w:rPr>
          <w:rFonts w:ascii="Consolas" w:hAnsi="Consolas"/>
          <w:sz w:val="18"/>
        </w:rPr>
        <w:t>发展建议（示例）：</w:t>
      </w:r>
    </w:p>
    <w:p>
      <w:r>
        <w:rPr>
          <w:rFonts w:ascii="Consolas" w:hAnsi="Consolas"/>
          <w:sz w:val="18"/>
        </w:rPr>
        <w:t xml:space="preserve">  ✅ 设立产业引导基金，构建多层次资金支持体系</w:t>
      </w:r>
    </w:p>
    <w:p>
      <w:r>
        <w:rPr>
          <w:rFonts w:ascii="Consolas" w:hAnsi="Consolas"/>
          <w:sz w:val="18"/>
        </w:rPr>
        <w:t xml:space="preserve">  ✅ 发放算力券/运营补贴，降低中小企业用算门槛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风险提示（示例）：</w:t>
      </w:r>
    </w:p>
    <w:p>
      <w:r>
        <w:rPr>
          <w:rFonts w:ascii="Consolas" w:hAnsi="Consolas"/>
          <w:sz w:val="18"/>
        </w:rPr>
        <w:t xml:space="preserve">  ⚠️ 防范财政补贴依赖，设定退出机制和补贴递减路径</w:t>
      </w:r>
    </w:p>
    <w:p>
      <w:r>
        <w:rPr>
          <w:rFonts w:ascii="Consolas" w:hAnsi="Consolas"/>
          <w:sz w:val="18"/>
        </w:rPr>
        <w:t xml:space="preserve">  ⚠️ 防止产业地产化，避免为招商而招商导致空置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怎么理解：</w:t>
      </w:r>
    </w:p>
    <w:p>
      <w:r>
        <w:rPr>
          <w:rFonts w:ascii="Consolas" w:hAnsi="Consolas"/>
          <w:sz w:val="18"/>
        </w:rPr>
        <w:t xml:space="preserve">  建议 → 你应该优先做的具体事情</w:t>
      </w:r>
    </w:p>
    <w:p>
      <w:r>
        <w:rPr>
          <w:rFonts w:ascii="Consolas" w:hAnsi="Consolas"/>
          <w:sz w:val="18"/>
        </w:rPr>
        <w:t xml:space="preserve">  风险 → 做这些事情的时候要注意什么坑</w:t>
      </w:r>
    </w:p>
    <w:p>
      <w:pPr>
        <w:jc w:val="left"/>
      </w:pPr>
      <w:r>
        <w:rPr>
          <w:color w:val="646464"/>
          <w:sz w:val="18"/>
        </w:rPr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五、常见问题</w:t>
      </w:r>
    </w:p>
    <w:p>
      <w:pPr>
        <w:pStyle w:val="Heading3"/>
      </w:pPr>
      <w:r>
        <w:t>Q1：有些数据我不知道怎么填怎么办？</w:t>
      </w:r>
    </w:p>
    <w:p>
      <w:r>
        <w:t>A：可以先用"载入参考"功能看克拉玛依和伊吾的数据，大致判断你所在地区处于什么水平。比如你的地区是县级、财政较弱，可以参照伊吾的数据填。</w:t>
      </w:r>
    </w:p>
    <w:p>
      <w:pPr>
        <w:pStyle w:val="Heading3"/>
      </w:pPr>
      <w:r>
        <w:t>Q2：数据填错了影响大吗？</w:t>
      </w:r>
    </w:p>
    <w:p>
      <w:r>
        <w:t>A：这个模型是基于趋势判断，不是精确计算。即使个别数据有偏差，整体方向不会变。建议尽量填真实数据，结果更准确。</w:t>
      </w:r>
    </w:p>
    <w:p>
      <w:pPr>
        <w:pStyle w:val="Heading3"/>
      </w:pPr>
      <w:r>
        <w:t>Q3：我的判读结果是"混合型"是什么意思？</w:t>
      </w:r>
    </w:p>
    <w:p>
      <w:r>
        <w:t>A：说明你的条件介于两种路径之间，没有特别明显的倾向。可以看看自己哪个维度的数据更有优势，先从这个维度突破。</w:t>
      </w:r>
    </w:p>
    <w:p>
      <w:pPr>
        <w:pStyle w:val="Heading3"/>
      </w:pPr>
      <w:r>
        <w:t>Q4：这个工具能直接给出规划方案吗？</w:t>
      </w:r>
    </w:p>
    <w:p>
      <w:r>
        <w:t>A：不能。这个工具提供的是**方向性建议**，具体的产业规划需要结合当地实际情况进一步研究。</w:t>
      </w:r>
    </w:p>
    <w:p>
      <w:pPr>
        <w:pStyle w:val="Heading3"/>
      </w:pPr>
      <w:r>
        <w:t>Q5：数据来源可靠吗？</w:t>
      </w:r>
    </w:p>
    <w:p>
      <w:r>
        <w:t>A：所有数据都标注了可信度等级：</w:t>
      </w:r>
    </w:p>
    <w:p>
      <w:pPr>
        <w:pStyle w:val="ListBullet"/>
      </w:pPr>
      <w:r>
        <w:t>[A] 官方统计数据</w:t>
      </w:r>
    </w:p>
    <w:p>
      <w:pPr>
        <w:pStyle w:val="ListBullet"/>
      </w:pPr>
      <w:r>
        <w:t>[B] 政府公告/工作报告</w:t>
      </w:r>
    </w:p>
    <w:p>
      <w:pPr>
        <w:pStyle w:val="ListBullet"/>
      </w:pPr>
      <w:r>
        <w:t>[C] 行业报告/企业公告</w:t>
      </w:r>
    </w:p>
    <w:p>
      <w:pPr>
        <w:pStyle w:val="ListBullet"/>
      </w:pPr>
      <w:r>
        <w:t>[D] 媒体报道/估算值</w:t>
      </w:r>
    </w:p>
    <w:p>
      <w:r>
        <w:t>可以在结果下方展开"参考案例"查看完整数据来源。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六、技术说明（供参考）</w:t>
      </w:r>
    </w:p>
    <w:p>
      <w:pPr>
        <w:pStyle w:val="ListBullet"/>
      </w:pPr>
      <w:r>
        <w:t>本工具为纯前端静态网页，无需后端服务</w:t>
      </w:r>
    </w:p>
    <w:p>
      <w:pPr>
        <w:pStyle w:val="ListBullet"/>
      </w:pPr>
      <w:r>
        <w:t>所有计算在用户浏览器中完成，数据不上传</w:t>
      </w:r>
    </w:p>
    <w:p>
      <w:pPr>
        <w:pStyle w:val="ListBullet"/>
      </w:pPr>
      <w:r>
        <w:t>算法：加权欧氏距离相似度匹配</w:t>
      </w:r>
    </w:p>
    <w:p>
      <w:pPr>
        <w:pStyle w:val="ListBullet"/>
      </w:pPr>
      <w:r>
        <w:t>输入限制：仅接受数字，会自动校验范围</w:t>
      </w:r>
    </w:p>
    <w:p>
      <w:pPr>
        <w:pStyle w:val="ListBullet"/>
      </w:pPr>
      <w:r>
        <w:t>兼容性：支持主流浏览器（Chrome/Edge/Firefox/Safari）</w:t>
      </w:r>
    </w:p>
    <w:p>
      <w:r>
        <w:t>――――――――――――――――――――――――――――――</w:t>
      </w:r>
    </w:p>
    <w:p>
      <w:r>
        <w:rPr>
          <w:i/>
          <w:color w:val="646464"/>
        </w:rPr>
        <w:t>版本：Demo v0.1</w:t>
      </w:r>
    </w:p>
    <w:p>
      <w:r>
        <w:rPr>
          <w:i/>
          <w:color w:val="646464"/>
        </w:rPr>
        <w:t>用途：辅助地方政府初步判断绿色算力产业发展路径</w:t>
      </w:r>
    </w:p>
    <w:p>
      <w:r>
        <w:rPr>
          <w:i/>
          <w:color w:val="646464"/>
        </w:rPr>
        <w:t>注意：本工具为学术研究项目，结果仅供参考，不作为决策唯一依据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