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D5E33"/>
          <w:sz w:val="28"/>
        </w:rPr>
        <w:t>附录B：逻辑与算法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一、TOPSIS算法概述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TOPSIS（Technique for Order Preference by Similarity to Ideal Solution，逼近理想解排序法）是一种多目标决策分析方法。其核心理念是：最优方案应当离正理想解最近、离负理想解最远。正理想解由各指标的最优值构成，负理想解由各指标的最劣值构成。</w:t>
      </w:r>
    </w:p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二、算法步骤详解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步骤1：构建决策矩阵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收集m个评价对象（本系统为3个地区）在n个评价指标（本系统为8个参数）上的取值，构成决策矩阵 X = (xij)m×n。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步骤2：归一化处理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采用向量归一化法，将原始数据转换为无量纲值，消除不同量纲的影响。公式为：rij = xij / sqrt(Sxij2)。其中，rij为归一化后的值，xij为原始值。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步骤3：成本型指标反转处理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对于成本型指标（工业用电均价、年平均气温），数值越小越好。在展示评分时，采用反转处理：展示分 = 1 - 归一化值。但在TOPSIS内部计算时，成本型指标直接取最小值作为正理想解，不需要额外反转。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步骤4：构建加权决策矩阵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将归一化后的值乘以对应权重，得到加权决策矩阵：vij = rij x wj。权重分配如下：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维度权重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指标权重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资源转化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工业用电均价：12% / 年平均气温：10% / 可用产业用地：8%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合计30%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公共支撑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一般公共预算收入：15% / 行政层级指数：10%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合计25%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生态构建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数字/算力企业数：12% / 算力应用场景：10% / 科研机构：8%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合计30%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弹性调节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以上三项按比例分配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合计15%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步骤5：确定正负理想解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正理想解A+：取各指标的最优值。对于收益型指标，取最大值；对于成本型指标，取最小值。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负理想解A-：取各指标的最劣值。对于收益型指标，取最小值；对于成本型指标，取最大值。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步骤6：计算欧氏距离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计算各方案到正理想解的距离Si+和到负理想解的距离Si-：</w:t>
      </w:r>
    </w:p>
    <w:p>
      <w:r>
        <w:rPr>
          <w:rFonts w:ascii="宋体" w:hAnsi="宋体" w:eastAsia="宋体"/>
          <w:b w:val="0"/>
          <w:sz w:val="22"/>
        </w:rPr>
        <w:t>Si+ = sqrt(S(vij - vj+)2)  —— 离正理想解的距离（越小越好）</w:t>
      </w:r>
    </w:p>
    <w:p>
      <w:r>
        <w:rPr>
          <w:rFonts w:ascii="宋体" w:hAnsi="宋体" w:eastAsia="宋体"/>
          <w:b w:val="0"/>
          <w:sz w:val="22"/>
        </w:rPr>
        <w:t>Si- = sqrt(S(vij - vj-)2)  —— 离负理想解的距离（越大越好）</w:t>
      </w:r>
    </w:p>
    <w:p>
      <w:pPr>
        <w:pStyle w:val="Heading2"/>
      </w:pPr>
      <w:r>
        <w:rPr>
          <w:rFonts w:ascii="宋体" w:hAnsi="宋体" w:eastAsia="宋体"/>
          <w:b/>
          <w:color w:val="0D5E33"/>
          <w:sz w:val="28"/>
        </w:rPr>
        <w:t>步骤7：计算相对接近度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Ci = Si- / (Si+ + Si-)，Ci值范围在0到1之间。Ci越接近1，说明该方案越接近正理想解，综合表现越好。最终排名按照Ci值从大到小排列。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三、三维评估模型</w:t>
      </w:r>
    </w:p>
    <w:p>
      <w:r>
        <w:rPr>
          <w:rFonts w:ascii="宋体" w:hAnsi="宋体" w:eastAsia="宋体"/>
          <w:b w:val="0"/>
          <w:sz w:val="22"/>
        </w:rPr>
        <w:t>系统从三个维度评估绿色算力发展路径：</w:t>
      </w:r>
    </w:p>
    <w:p>
      <w:r>
        <w:rPr>
          <w:rFonts w:ascii="宋体" w:hAnsi="宋体" w:eastAsia="宋体"/>
          <w:b/>
          <w:sz w:val="24"/>
        </w:rPr>
        <w:t>资源转化维度（权重30%）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衡量绿色算力的基础设施条件和资源禀赋。包含工业用电均价（反映电力成本优势）、年平均气温（影响数据中心散热能耗）、可用产业用地（决定产业拓展空间）。成本型指标（电价、气温）的展示分已反转，分值越高代表条件越好。</w:t>
      </w:r>
    </w:p>
    <w:p>
      <w:r>
        <w:rPr>
          <w:rFonts w:ascii="宋体" w:hAnsi="宋体" w:eastAsia="宋体"/>
          <w:b/>
          <w:sz w:val="24"/>
        </w:rPr>
        <w:t>公共支撑维度（权重25%）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衡量政府和公共资源的支撑能力。包含一般公共预算收入（反映地方政府的经济实力和投资能力）、行政层级指数（反映政策自主权和行政效率）。</w:t>
      </w:r>
    </w:p>
    <w:p>
      <w:r>
        <w:rPr>
          <w:rFonts w:ascii="宋体" w:hAnsi="宋体" w:eastAsia="宋体"/>
          <w:b/>
          <w:sz w:val="24"/>
        </w:rPr>
        <w:t>生态构建维度（权重30%）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衡量产业生态的完善程度。包含数字/算力企业数（反映产业集聚度）、算力应用场景数（反映市场需求多样性）、高等教育/科研机构数（反映人才和技术支撑能力）。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四、匹配度与发展建议生成逻辑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系统根据三个维度的得分分布，自动生成匹配度评估和发展建议：</w:t>
      </w:r>
    </w:p>
    <w:p>
      <w:r>
        <w:rPr>
          <w:rFonts w:ascii="宋体" w:hAnsi="宋体" w:eastAsia="宋体"/>
          <w:b w:val="0"/>
          <w:sz w:val="22"/>
        </w:rPr>
        <w:t>- 各维度得分加权求和得到综合评分</w:t>
      </w:r>
    </w:p>
    <w:p>
      <w:r>
        <w:rPr>
          <w:rFonts w:ascii="宋体" w:hAnsi="宋体" w:eastAsia="宋体"/>
          <w:b w:val="0"/>
          <w:sz w:val="22"/>
        </w:rPr>
        <w:t>- 比较各维度得分的相对强弱关系，识别优势维度与短板维度</w:t>
      </w:r>
    </w:p>
    <w:p>
      <w:r>
        <w:rPr>
          <w:rFonts w:ascii="宋体" w:hAnsi="宋体" w:eastAsia="宋体"/>
          <w:b w:val="0"/>
          <w:sz w:val="22"/>
        </w:rPr>
        <w:t>- 根据维度得分组合，匹配对应的发展路径建议（如"资源优势型""综合发展型""生态驱动型"等）</w:t>
      </w:r>
    </w:p>
    <w:p>
      <w:r>
        <w:rPr>
          <w:rFonts w:ascii="宋体" w:hAnsi="宋体" w:eastAsia="宋体"/>
          <w:b w:val="0"/>
          <w:sz w:val="22"/>
        </w:rPr>
        <w:t>- 建议内容基于规则模板生成，每条建议包含：优先级（高/中/低）、预期效果、实施成本</w:t>
      </w:r>
    </w:p>
    <w:p/>
    <w:p>
      <w:pPr>
        <w:pStyle w:val="Heading1"/>
      </w:pPr>
      <w:r>
        <w:rPr>
          <w:rFonts w:ascii="宋体" w:hAnsi="宋体" w:eastAsia="宋体"/>
          <w:b/>
          <w:color w:val="0D5E33"/>
          <w:sz w:val="32"/>
        </w:rPr>
        <w:t>五、系统技术架构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绿算治策系统采用纯前端单页应用架构：</w:t>
      </w:r>
    </w:p>
    <w:p>
      <w:r>
        <w:rPr>
          <w:rFonts w:ascii="宋体" w:hAnsi="宋体" w:eastAsia="宋体"/>
          <w:b w:val="0"/>
          <w:sz w:val="22"/>
        </w:rPr>
        <w:t>- 技术栈：HTML5 + CSS3 + JavaScript（ES6+）</w:t>
      </w:r>
    </w:p>
    <w:p>
      <w:r>
        <w:rPr>
          <w:rFonts w:ascii="宋体" w:hAnsi="宋体" w:eastAsia="宋体"/>
          <w:b w:val="0"/>
          <w:sz w:val="22"/>
        </w:rPr>
        <w:t>- 可视化库：ECharts（雷达图、条形图）</w:t>
      </w:r>
    </w:p>
    <w:p>
      <w:r>
        <w:rPr>
          <w:rFonts w:ascii="宋体" w:hAnsi="宋体" w:eastAsia="宋体"/>
          <w:b w:val="0"/>
          <w:sz w:val="22"/>
        </w:rPr>
        <w:t>- 导出功能：jsPDF（PDF格式）、html2canvas（截图渲染）、Word导出（Blob方式生成DOCX文件）</w:t>
      </w:r>
    </w:p>
    <w:p>
      <w:r>
        <w:rPr>
          <w:rFonts w:ascii="宋体" w:hAnsi="宋体" w:eastAsia="宋体"/>
          <w:b w:val="0"/>
          <w:sz w:val="22"/>
        </w:rPr>
        <w:t>- 部署方式：Vercel / Netlify 自动部署，关联GitHub仓库</w:t>
      </w:r>
    </w:p>
    <w:p>
      <w:r>
        <w:rPr>
          <w:rFonts w:ascii="宋体" w:hAnsi="宋体" w:eastAsia="宋体"/>
          <w:b w:val="0"/>
          <w:sz w:val="22"/>
        </w:rPr>
        <w:t>- 无需后端服务器、无需数据库，所有数据和算法逻辑在浏览器端运行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