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 w:font="SimHei">
        <w:rPr>
          <w:rFonts w:ascii="SimHei" w:hAnsi="SimHei"/>
        </w:rPr>
        <w:t>附录A：评估数据与底表</w:t>
      </w:r>
    </w:p>
    <w:p>
      <w:r>
        <w:rPr>
          <w:rFonts w:ascii="SimSun" w:hAnsi="SimSun" w:eastAsia="SimSun"/>
          <w:b w:val="0"/>
          <w:sz w:val="20"/>
        </w:rPr>
        <w:t>本附录详细列出绿算治策决策支持系统所使用的全部数据底表、参数定义、权重分配及归一化计算示例。</w:t>
      </w:r>
    </w:p>
    <w:p>
      <w:pPr>
        <w:pStyle w:val="Heading2"/>
      </w:pPr>
      <w:r w:font="SimHei">
        <w:rPr>
          <w:rFonts w:ascii="SimHei" w:hAnsi="SimHei"/>
        </w:rPr>
        <w:t>一、评估参数定义</w:t>
      </w:r>
    </w:p>
    <w:p>
      <w:r>
        <w:rPr>
          <w:rFonts w:ascii="SimSun" w:hAnsi="SimSun" w:eastAsia="SimSun"/>
          <w:b w:val="0"/>
          <w:sz w:val="20"/>
        </w:rPr>
        <w:t>系统共使用8项评估参数，分为收益型（越高越好）和成本型（越低越好）两类：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编号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参数名称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数据范围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单位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类型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数据来源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可信度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①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行政层级指数 (adm)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1-5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级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收益型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行政区划官方数据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A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②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一般公共预算收入 (fis)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0-500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亿元/年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收益型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地方财政统计公报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A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③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数字/算力企业数 (ent)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0-400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家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收益型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工商注册数据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B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④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工业用电均价 (pow)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0.03-0.80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元/度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成本型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发改委电价文件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A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⑤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年平均气温 (tmp)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0-25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℃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成本型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气象局统计数据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A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⑥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可用产业用地 (land)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0-50,000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亩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收益型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国土规划数据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B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⑦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算力应用场景数 (sce)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0-12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类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收益型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产业调研数据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B</w:t>
            </w:r>
          </w:p>
        </w:tc>
      </w:tr>
      <w:tr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⑧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高等教育/科研机构数 (uni)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0-30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所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收益型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教育部名录</w:t>
            </w:r>
          </w:p>
        </w:tc>
        <w:tc>
          <w:tcPr>
            <w:tcW w:type="dxa" w:w="1234"/>
          </w:tcPr>
          <w:p>
            <w:r>
              <w:rPr>
                <w:rFonts w:ascii="SimSun" w:hAnsi="SimSun"/>
                <w:sz w:val="18"/>
              </w:rPr>
              <w:t>A</w:t>
            </w:r>
          </w:p>
        </w:tc>
      </w:tr>
    </w:tbl>
    <w:p>
      <w:pPr>
        <w:pStyle w:val="Heading2"/>
      </w:pPr>
      <w:r w:font="SimHei">
        <w:rPr>
          <w:rFonts w:ascii="SimHei" w:hAnsi="SimHei"/>
        </w:rPr>
        <w:t>二、双案例标杆数据</w:t>
      </w:r>
    </w:p>
    <w:p>
      <w:r>
        <w:rPr>
          <w:rFonts w:ascii="SimSun" w:hAnsi="SimSun" w:eastAsia="SimSun"/>
          <w:b w:val="0"/>
          <w:sz w:val="20"/>
        </w:rPr>
        <w:t>以下为克拉玛依市（生态构建型标杆）与伊吾县（资源转化型标杆）的原始参数数据：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参数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克拉玛依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伊吾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行政层级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3级（地级市）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2级（县级）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克拉玛依为地级行政单位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预算收入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122.2亿元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38.13亿元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克拉玛依人均GDP全国前列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企业数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185家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19家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克拉玛依信息化产业起步较早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用电均价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0.055元/度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0.275元/度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克拉玛依有自主发电优势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年均气温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8.5℃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4.5℃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伊吾位于天山北麓，气温更低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产业用地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22,600亩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1,400亩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克拉玛依土地资源充裕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应用场景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7类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2类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克拉玛依数字化转型较早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高校/院所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2所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0所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克拉玛依有本科院校</w:t>
            </w:r>
          </w:p>
        </w:tc>
      </w:tr>
    </w:tbl>
    <w:p>
      <w:pPr>
        <w:pStyle w:val="Heading2"/>
      </w:pPr>
      <w:r w:font="SimHei">
        <w:rPr>
          <w:rFonts w:ascii="SimHei" w:hAnsi="SimHei"/>
        </w:rPr>
        <w:t>三、权重分配方案</w:t>
      </w:r>
    </w:p>
    <w:p>
      <w:r>
        <w:rPr>
          <w:rFonts w:ascii="SimSun" w:hAnsi="SimSun" w:eastAsia="SimSun"/>
          <w:b w:val="0"/>
          <w:sz w:val="20"/>
        </w:rPr>
        <w:t>权重基于中观经济学三维模型设定，经专家咨询法确定：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权重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包含指标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权重细分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资源转化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①电价 · ②气温 · ③用地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15% + 10% + 5%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公共支撑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④财政收入 · ⑤行政层级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15% + 10%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生态构建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⑥企业数 · ⑦场景 · ⑧高校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12.5% + 12.5% + 5%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政府角色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行政资源配置能力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折算计入公共支撑</w:t>
            </w:r>
          </w:p>
        </w:tc>
      </w:tr>
    </w:tbl>
    <w:p>
      <w:pPr>
        <w:pStyle w:val="Heading2"/>
      </w:pPr>
      <w:r w:font="SimHei">
        <w:rPr>
          <w:rFonts w:ascii="SimHei" w:hAnsi="SimHei"/>
        </w:rPr>
        <w:t>四、归一化计算示例</w:t>
      </w:r>
    </w:p>
    <w:p>
      <w:r>
        <w:rPr>
          <w:rFonts w:ascii="SimSun" w:hAnsi="SimSun" w:eastAsia="SimSun"/>
          <w:b w:val="0"/>
          <w:sz w:val="20"/>
        </w:rPr>
        <w:t>以克拉玛依的电价参数（pow=0.055元/度，成本型）为例：</w:t>
      </w:r>
    </w:p>
    <w:p>
      <w:r>
        <w:rPr>
          <w:rFonts w:ascii="SimSun" w:hAnsi="SimSun" w:eastAsia="SimSun"/>
          <w:b w:val="0"/>
          <w:sz w:val="20"/>
        </w:rPr>
        <w:t>归一化公式：n(x) = (x - min) / (max - min)</w:t>
      </w:r>
    </w:p>
    <w:p>
      <w:r>
        <w:rPr>
          <w:rFonts w:ascii="SimSun" w:hAnsi="SimSun" w:eastAsia="SimSun"/>
          <w:b w:val="0"/>
          <w:sz w:val="20"/>
        </w:rPr>
        <w:t>归一化值：n(0.055) = (0.055 - 0.03) / (0.80 - 0.03) = 0.0325</w:t>
      </w:r>
    </w:p>
    <w:p>
      <w:r>
        <w:rPr>
          <w:rFonts w:ascii="SimSun" w:hAnsi="SimSun" w:eastAsia="SimSun"/>
          <w:b w:val="0"/>
          <w:sz w:val="20"/>
        </w:rPr>
        <w:t>成本型反转换：ds = (1 - 0.0325) × 100 = 97分</w:t>
      </w:r>
    </w:p>
    <w:p>
      <w:r>
        <w:rPr>
          <w:rFonts w:ascii="SimSun" w:hAnsi="SimSun" w:eastAsia="SimSun"/>
          <w:b w:val="0"/>
          <w:sz w:val="20"/>
        </w:rPr>
        <w:t>即克拉玛依的电价条件归一化得分为97分（满分制）。</w:t>
      </w:r>
    </w:p>
    <w:p>
      <w:pPr>
        <w:pStyle w:val="Heading2"/>
      </w:pPr>
      <w:r w:font="SimHei">
        <w:rPr>
          <w:rFonts w:ascii="SimHei" w:hAnsi="SimHei"/>
        </w:rPr>
        <w:t>五、路径结果对照表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推荐路径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判定条件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典型案例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imHei" w:hAnsi="SimHei"/>
                <w:b/>
                <w:sz w:val="18"/>
              </w:rPr>
              <w:t>核心特征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生态构建型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生态得分 &gt; 资源得分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克拉玛依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产业基础好、人才集聚、场景丰富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资源转化型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资源得分 &gt; 生态得分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伊吾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成本优势突出、能源/气候/土地便宜</w:t>
            </w:r>
          </w:p>
        </w:tc>
      </w:tr>
      <w:tr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均衡型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两者差距 &lt; 10%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SimSun" w:hAnsi="SimSun"/>
                <w:sz w:val="18"/>
              </w:rPr>
              <w:t>两端条件相当，可双轨并行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