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 w:font="SimHei">
        <w:rPr>
          <w:rFonts w:ascii="SimHei" w:hAnsi="SimHei"/>
        </w:rPr>
        <w:t>附录B：算法逻辑与技术说明</w:t>
      </w:r>
    </w:p>
    <w:p>
      <w:r>
        <w:rPr>
          <w:rFonts w:ascii="SimSun" w:hAnsi="SimSun" w:eastAsia="SimSun"/>
          <w:b w:val="0"/>
          <w:sz w:val="20"/>
        </w:rPr>
        <w:t>本附录详细说明绿算治策系统的核心算法——TOPSIS多准则决策分析模型的技术实现。</w:t>
      </w:r>
    </w:p>
    <w:p>
      <w:pPr>
        <w:pStyle w:val="Heading2"/>
      </w:pPr>
      <w:r w:font="SimHei">
        <w:rPr>
          <w:rFonts w:ascii="SimHei" w:hAnsi="SimHei"/>
        </w:rPr>
        <w:t>一、TOPSIS算法原理</w:t>
      </w:r>
    </w:p>
    <w:p>
      <w:r>
        <w:rPr>
          <w:rFonts w:ascii="SimSun" w:hAnsi="SimSun" w:eastAsia="SimSun"/>
          <w:b w:val="0"/>
          <w:sz w:val="20"/>
        </w:rPr>
        <w:t>TOPSIS（Technique for Order Preference by Similarity to Ideal Solution）逼近理想解排序法，是一种经典的多准则决策分析方法。其核心思想是：最优方案应距离正理想解最近，同时距离负理想解最远。</w:t>
      </w:r>
    </w:p>
    <w:p>
      <w:pPr>
        <w:pStyle w:val="Heading2"/>
      </w:pPr>
      <w:r w:font="SimHei">
        <w:rPr>
          <w:rFonts w:ascii="SimHei" w:hAnsi="SimHei"/>
        </w:rPr>
        <w:t>二、算法步骤</w:t>
      </w:r>
    </w:p>
    <w:p>
      <w:r>
        <w:rPr>
          <w:rFonts w:ascii="SimSun" w:hAnsi="SimSun" w:eastAsia="SimSun"/>
          <w:b w:val="0"/>
          <w:sz w:val="20"/>
        </w:rPr>
        <w:t>步骤1：构建决策矩阵。将所有方案在各个准则下的原始值构成矩阵X = [x_ij]_(m×n)，其中m为方案数，n为准则数。</w:t>
      </w:r>
    </w:p>
    <w:p>
      <w:r>
        <w:rPr>
          <w:rFonts w:ascii="SimSun" w:hAnsi="SimSun" w:eastAsia="SimSun"/>
          <w:b w:val="0"/>
          <w:sz w:val="20"/>
        </w:rPr>
        <w:t>步骤2：归一化处理。对每个准则j，计算归一化值：r_ij = x_ij / sqrt(sum(x_ij^2)) 或采用极差归一化：n(x) = (x - min)/(max - min)。</w:t>
      </w:r>
    </w:p>
    <w:p>
      <w:r>
        <w:rPr>
          <w:rFonts w:ascii="SimSun" w:hAnsi="SimSun" w:eastAsia="SimSun"/>
          <w:b w:val="0"/>
          <w:sz w:val="20"/>
        </w:rPr>
        <w:t>步骤3：加权处理。乘以各准则权重：v_ij = w_j × r_ij。适用于权重已知的情况。</w:t>
      </w:r>
    </w:p>
    <w:p>
      <w:r>
        <w:rPr>
          <w:rFonts w:ascii="SimSun" w:hAnsi="SimSun" w:eastAsia="SimSun"/>
          <w:b w:val="0"/>
          <w:sz w:val="20"/>
        </w:rPr>
        <w:t>步骤4：确定正理想解A+和负理想解A-。收益型（越高越好）取每列最大值，成本型（越低越好）取每列最小值。</w:t>
      </w:r>
    </w:p>
    <w:p>
      <w:r>
        <w:rPr>
          <w:rFonts w:ascii="SimSun" w:hAnsi="SimSun" w:eastAsia="SimSun"/>
          <w:b w:val="0"/>
          <w:sz w:val="20"/>
        </w:rPr>
        <w:t>步骤5：计算各方案到正负理想解的欧氏距离：S+ = sqrt(sum(v_j - v_j+)^2)，S- = sqrt(sum(v_j - v_j-)^2)。</w:t>
      </w:r>
    </w:p>
    <w:p>
      <w:r>
        <w:rPr>
          <w:rFonts w:ascii="SimSun" w:hAnsi="SimSun" w:eastAsia="SimSun"/>
          <w:b w:val="0"/>
          <w:sz w:val="20"/>
        </w:rPr>
        <w:t>步骤6：计算贴近度得分：C = S- / (S+ + S-)。得分越高表示方案越优。</w:t>
      </w:r>
    </w:p>
    <w:p>
      <w:pPr>
        <w:pStyle w:val="Heading2"/>
      </w:pPr>
      <w:r w:font="SimHei">
        <w:rPr>
          <w:rFonts w:ascii="SimHei" w:hAnsi="SimHei"/>
        </w:rPr>
        <w:t>三、系统实现</w:t>
      </w:r>
    </w:p>
    <w:p>
      <w:r>
        <w:rPr>
          <w:rFonts w:ascii="SimSun" w:hAnsi="SimSun" w:eastAsia="SimSun"/>
          <w:b w:val="0"/>
          <w:sz w:val="20"/>
        </w:rPr>
        <w:t>本系统的TOPSIS实现有以下特点：</w:t>
      </w:r>
    </w:p>
    <w:p>
      <w:r>
        <w:rPr>
          <w:rFonts w:ascii="SimSun" w:hAnsi="SimSun" w:eastAsia="SimSun"/>
          <w:b w:val="0"/>
          <w:sz w:val="20"/>
        </w:rPr>
        <w:t>1. 使用极差归一化（Min-Max Normalization），将各指标映射到0-1区间，便于比较不同类型的数据。</w:t>
      </w:r>
    </w:p>
    <w:p>
      <w:r>
        <w:rPr>
          <w:rFonts w:ascii="SimSun" w:hAnsi="SimSun" w:eastAsia="SimSun"/>
          <w:b w:val="0"/>
          <w:sz w:val="20"/>
        </w:rPr>
        <w:t>2. 成本型参数（电价、气温）在归一化后进行反转换：C_score = (1 - n(x)) × 100，含义是"越低分越高"。</w:t>
      </w:r>
    </w:p>
    <w:p>
      <w:r>
        <w:rPr>
          <w:rFonts w:ascii="SimSun" w:hAnsi="SimSun" w:eastAsia="SimSun"/>
          <w:b w:val="0"/>
          <w:sz w:val="20"/>
        </w:rPr>
        <w:t>3. 维度评分采用加权平均：各维度得分为其包含的子指标得分的加权平均值。</w:t>
      </w:r>
    </w:p>
    <w:p>
      <w:r>
        <w:rPr>
          <w:rFonts w:ascii="SimSun" w:hAnsi="SimSun" w:eastAsia="SimSun"/>
          <w:b w:val="0"/>
          <w:sz w:val="20"/>
        </w:rPr>
        <w:t>4. 贴近度得分基于加权欧氏距离计算，反映评估地区与两条标杆路径的综合相似度。</w:t>
      </w:r>
    </w:p>
    <w:p>
      <w:pPr>
        <w:pStyle w:val="Heading2"/>
      </w:pPr>
      <w:r w:font="SimHei">
        <w:rPr>
          <w:rFonts w:ascii="SimHei" w:hAnsi="SimHei"/>
        </w:rPr>
        <w:t>四、三维模型理论框架</w:t>
      </w:r>
    </w:p>
    <w:p>
      <w:r>
        <w:rPr>
          <w:rFonts w:ascii="SimSun" w:hAnsi="SimSun" w:eastAsia="SimSun"/>
          <w:b w:val="0"/>
          <w:sz w:val="20"/>
        </w:rPr>
        <w:t>本系统的评价指标体系基于中观经济学三维模型构建：</w:t>
      </w:r>
    </w:p>
    <w:p>
      <w:r>
        <w:rPr>
          <w:rFonts w:ascii="SimSun" w:hAnsi="SimSun" w:eastAsia="SimSun"/>
          <w:b w:val="0"/>
          <w:sz w:val="20"/>
        </w:rPr>
        <w:t>第一维：资源转化维度。评估地区的自然禀赋和成本优势。包含电价（代表能源成本）、气温（代表冷却成本）、用地（代表土地供给弹性）。该维度得分高意味着适合走资源转化型发展路径。</w:t>
      </w:r>
    </w:p>
    <w:p>
      <w:r>
        <w:rPr>
          <w:rFonts w:ascii="SimSun" w:hAnsi="SimSun" w:eastAsia="SimSun"/>
          <w:b w:val="0"/>
          <w:sz w:val="20"/>
        </w:rPr>
        <w:t>第二维：公共支撑维度。评估地方政府的治理能力和财政实力。包含财政收入（代表可支配财力）和行政层级（代表政策自主权）。该维度是产业发展的基础保障。</w:t>
      </w:r>
    </w:p>
    <w:p>
      <w:r>
        <w:rPr>
          <w:rFonts w:ascii="SimSun" w:hAnsi="SimSun" w:eastAsia="SimSun"/>
          <w:b w:val="0"/>
          <w:sz w:val="20"/>
        </w:rPr>
        <w:t>第三维：生态构建维度。评估地区的产业生态和创新能力。包含企业数量（代表产业基础）、应用场景（代表市场潜力）、高校/科研机构（代表人才供给）。该维度得分高意味着适合走生态构建型发展路径。</w:t>
      </w:r>
    </w:p>
    <w:p>
      <w:pPr>
        <w:pStyle w:val="Heading2"/>
      </w:pPr>
      <w:r w:font="SimHei">
        <w:rPr>
          <w:rFonts w:ascii="SimHei" w:hAnsi="SimHei"/>
        </w:rPr>
        <w:t>五、匹配度计算</w:t>
      </w:r>
    </w:p>
    <w:p>
      <w:r>
        <w:rPr>
          <w:rFonts w:ascii="SimSun" w:hAnsi="SimSun" w:eastAsia="SimSun"/>
          <w:b w:val="0"/>
          <w:sz w:val="20"/>
        </w:rPr>
        <w:t>系统输出两项核心匹配度指标：</w:t>
      </w:r>
    </w:p>
    <w:p>
      <w:r>
        <w:rPr>
          <w:rFonts w:ascii="SimSun" w:hAnsi="SimSun" w:eastAsia="SimSun"/>
          <w:b w:val="0"/>
          <w:sz w:val="20"/>
        </w:rPr>
        <w:t>生态构建型匹配度 = (100 - |生态维度得分 - 克拉玛依生态得分|) × (1 - |贴近度差|)，反映评估地区与克拉玛依发展模式的相似程度（百分比）。</w:t>
      </w:r>
    </w:p>
    <w:p>
      <w:r>
        <w:rPr>
          <w:rFonts w:ascii="SimSun" w:hAnsi="SimSun" w:eastAsia="SimSun"/>
          <w:b w:val="0"/>
          <w:sz w:val="20"/>
        </w:rPr>
        <w:t>资源转化型匹配度 = (100 - |资源维度得分 - 伊吾资源得分|) × (1 - |贴近度差|)，反映评估地区与伊吾发展模式的相似程度（百分比）。</w:t>
      </w:r>
    </w:p>
    <w:p>
      <w:r>
        <w:rPr>
          <w:rFonts w:ascii="SimSun" w:hAnsi="SimSun" w:eastAsia="SimSun"/>
          <w:b w:val="0"/>
          <w:sz w:val="20"/>
        </w:rPr>
        <w:t>系统根据较高匹配度自动判定推荐路径。若两者差距&lt;10%则判定为均衡型。</w:t>
      </w:r>
    </w:p>
    <w:p>
      <w:pPr>
        <w:pStyle w:val="Heading2"/>
      </w:pPr>
      <w:r w:font="SimHei">
        <w:rPr>
          <w:rFonts w:ascii="SimHei" w:hAnsi="SimHei"/>
        </w:rPr>
        <w:t>六、建议匹配逻辑</w:t>
      </w:r>
    </w:p>
    <w:p>
      <w:r>
        <w:rPr>
          <w:rFonts w:ascii="SimSun" w:hAnsi="SimSun" w:eastAsia="SimSun"/>
          <w:b w:val="0"/>
          <w:sz w:val="20"/>
        </w:rPr>
        <w:t>发展建议采用分层匹配机制：首先根据路径判定结果选择对应的建议模板，再从ADVICE_MAP中按路径类型提取30条细分建议。每条建议包含四个属性：优先级（🔴高/🟡中/🟢低）、时间线（短期/中期/长期）、预期效果（💎）和投入成本（💰）。建议列表按优先级排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