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 w:font="SimHei">
        <w:rPr>
          <w:rFonts w:ascii="SimHei" w:hAnsi="SimHei"/>
        </w:rPr>
        <w:t>附录C：视觉设计、系统部署与使用说明</w:t>
      </w:r>
    </w:p>
    <w:p>
      <w:r>
        <w:rPr>
          <w:rFonts w:ascii="SimSun" w:hAnsi="SimSun" w:eastAsia="SimSun"/>
          <w:b w:val="0"/>
          <w:sz w:val="20"/>
        </w:rPr>
        <w:t>本附录说明系统的视觉设计方案、部署方式、使用操作方法及维护指南。</w:t>
      </w:r>
    </w:p>
    <w:p>
      <w:pPr>
        <w:pStyle w:val="Heading2"/>
      </w:pPr>
      <w:r w:font="SimHei">
        <w:rPr>
          <w:rFonts w:ascii="SimHei" w:hAnsi="SimHei"/>
        </w:rPr>
        <w:t>一、视觉设计规范</w:t>
      </w:r>
    </w:p>
    <w:p>
      <w:r>
        <w:rPr>
          <w:rFonts w:ascii="SimSun" w:hAnsi="SimSun" w:eastAsia="SimSun"/>
          <w:b/>
          <w:sz w:val="20"/>
        </w:rPr>
        <w:t>配色方案：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色值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应用场景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主色-深绿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#0D5E33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标题、按钮、重要的数据标签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主色-中绿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#1A7A45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hover状态、维度卡片装饰色、图标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辅色-浅绿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#7AE0A0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辅助文字、highlight装饰、图标高亮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背景色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#F4F8F6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页面整体背景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卡片背景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#FFFFFF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内容卡片背景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对比色-蓝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#005FC8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伊吾数据系列色、蓝系装饰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对比色-橙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#E67E00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用户数据系列色、警告色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正文色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#1A2E22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正文文字色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辅助文字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#5A7A6A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说明文字、注释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分割线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#E2ECE6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卡片边界、表格分割线</w:t>
            </w:r>
          </w:p>
        </w:tc>
      </w:tr>
    </w:tbl>
    <w:p>
      <w:r>
        <w:rPr>
          <w:rFonts w:ascii="SimSun" w:hAnsi="SimSun" w:eastAsia="SimSun"/>
          <w:b/>
          <w:sz w:val="20"/>
        </w:rPr>
        <w:t>字体方案：</w:t>
      </w:r>
    </w:p>
    <w:p>
      <w:r>
        <w:rPr>
          <w:rFonts w:ascii="SimSun" w:hAnsi="SimSun" w:eastAsia="SimSun"/>
          <w:b w:val="0"/>
          <w:sz w:val="20"/>
        </w:rPr>
        <w:t>屏幕端：PingFang SC / Microsoft YaHei（无侵权风险）</w:t>
      </w:r>
    </w:p>
    <w:p>
      <w:r>
        <w:rPr>
          <w:rFonts w:ascii="SimSun" w:hAnsi="SimSun" w:eastAsia="SimSun"/>
          <w:b w:val="0"/>
          <w:sz w:val="20"/>
        </w:rPr>
        <w:t>导出文档：SimSun（宋体）正文 + SimHei（黑体）标题</w:t>
      </w:r>
    </w:p>
    <w:p>
      <w:r>
        <w:rPr>
          <w:rFonts w:ascii="SimSun" w:hAnsi="SimSun" w:eastAsia="SimSun"/>
          <w:b w:val="0"/>
          <w:sz w:val="20"/>
        </w:rPr>
        <w:t>字号层级：标题26px → 卡片标题15px → 正文14px → 辅助文字13px</w:t>
      </w:r>
    </w:p>
    <w:p>
      <w:pPr>
        <w:pStyle w:val="Heading2"/>
      </w:pPr>
      <w:r w:font="SimHei">
        <w:rPr>
          <w:rFonts w:ascii="SimHei" w:hAnsi="SimHei"/>
        </w:rPr>
        <w:t>二、功能模块说明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参数输入区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填写8项评估参数，支持载入标杆案例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页面顶部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路径判定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自动计算匹配度并推荐发展路径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报告区顶部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评估摘要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四要素摘要卡片（匹配度/贴近度/优势维度）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路径下方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匹配条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生态构建型vs资源转化型可视化对比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摘要下方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三维模型评分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资源转化/公共支撑/生态构建三维度得分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第一部分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雷达图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评估地区与双案例的三维对比可视化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第二部分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参数柱状图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8项参数归一化得分横向对比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第三部分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发展建议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按路径推荐的详细建议（含优先级+时间线）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第四部分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针对路径的风险预警和规避策略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第四部分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参数诊断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各指标的强弱项分析和改进提示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第四部分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完整对比表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评估地区vs双案例的原始数据对照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可折叠区域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导出功能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Word文档（.docx）和PDF报告下载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报告底部</w:t>
            </w:r>
          </w:p>
        </w:tc>
      </w:tr>
    </w:tbl>
    <w:p>
      <w:pPr>
        <w:pStyle w:val="Heading2"/>
      </w:pPr>
      <w:r w:font="SimHei">
        <w:rPr>
          <w:rFonts w:ascii="SimHei" w:hAnsi="SimHei"/>
        </w:rPr>
        <w:t>三、操作系统说明</w:t>
      </w:r>
    </w:p>
    <w:p>
      <w:r>
        <w:rPr>
          <w:rFonts w:ascii="SimSun" w:hAnsi="SimSun" w:eastAsia="SimSun"/>
          <w:b w:val="0"/>
          <w:sz w:val="20"/>
        </w:rPr>
        <w:t>1. 使用环境：系统为纯前端应用，无需安装任何软件。推荐使用Chrome、Edge或Firefox浏览器。</w:t>
      </w:r>
    </w:p>
    <w:p>
      <w:r>
        <w:rPr>
          <w:rFonts w:ascii="SimSun" w:hAnsi="SimSun" w:eastAsia="SimSun"/>
          <w:b w:val="0"/>
          <w:sz w:val="20"/>
        </w:rPr>
        <w:t>2. 启动方式：直接双击打开index.html文件即可运行。所有计算在本地浏览器中完成，不上传任何数据。</w:t>
      </w:r>
    </w:p>
    <w:p>
      <w:r>
        <w:rPr>
          <w:rFonts w:ascii="SimSun" w:hAnsi="SimSun" w:eastAsia="SimSun"/>
          <w:b w:val="0"/>
          <w:sz w:val="20"/>
        </w:rPr>
        <w:t>3. 基础操作流程：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输入地区名称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报告将以此署名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填入8项参数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可参考案例数据调整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点击生成报告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系统自动完成TOPSIS计算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查看评估结果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包含路径判定、评分、图表和建议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导出报告</w:t>
            </w:r>
          </w:p>
        </w:tc>
        <w:tc>
          <w:tcPr>
            <w:tcW w:type="dxa" w:w="2880"/>
          </w:tcPr>
          <w:p>
            <w:r>
              <w:rPr>
                <w:rFonts w:ascii="SimSun" w:hAnsi="SimSun"/>
                <w:sz w:val="18"/>
              </w:rPr>
              <w:t>选择Word或PDF格式下载</w:t>
            </w:r>
          </w:p>
        </w:tc>
      </w:tr>
    </w:tbl>
    <w:p>
      <w:pPr>
        <w:pStyle w:val="Heading2"/>
      </w:pPr>
      <w:r w:font="SimHei">
        <w:rPr>
          <w:rFonts w:ascii="SimHei" w:hAnsi="SimHei"/>
        </w:rPr>
        <w:t>四、部署与维护</w:t>
      </w:r>
    </w:p>
    <w:p>
      <w:r>
        <w:rPr>
          <w:rFonts w:ascii="SimSun" w:hAnsi="SimSun" w:eastAsia="SimSun"/>
          <w:b w:val="0"/>
          <w:sz w:val="20"/>
        </w:rPr>
        <w:t>本地使用：直接双击index.html即可，无需任何配置。</w:t>
      </w:r>
    </w:p>
    <w:p>
      <w:r>
        <w:rPr>
          <w:rFonts w:ascii="SimSun" w:hAnsi="SimSun" w:eastAsia="SimSun"/>
          <w:b w:val="0"/>
          <w:sz w:val="20"/>
        </w:rPr>
        <w:t>在线部署：项目已推送至GitHub（mz1009-web/lvsuangov），通过Netlify/Gitee Pages自动部署。</w:t>
      </w:r>
    </w:p>
    <w:p>
      <w:r>
        <w:rPr>
          <w:rFonts w:ascii="SimSun" w:hAnsi="SimSun" w:eastAsia="SimSun"/>
          <w:b w:val="0"/>
          <w:sz w:val="20"/>
        </w:rPr>
        <w:t>更新流程：修改index.html后，运行git add . → git commit -m"说明" → git push，部署平台自动更新。</w:t>
      </w:r>
    </w:p>
    <w:p>
      <w:r>
        <w:rPr>
          <w:rFonts w:ascii="SimSun" w:hAnsi="SimSun" w:eastAsia="SimSun"/>
          <w:b w:val="0"/>
          <w:sz w:val="20"/>
        </w:rPr>
        <w:t>技术栈：纯HTML5 + CSS3 + JavaScript（ES6+），无外部框架依赖。引用CDN库：html2canvas（截图）、jsPDF（PDF生成）。</w:t>
      </w:r>
    </w:p>
    <w:p>
      <w:pPr>
        <w:pStyle w:val="Heading2"/>
      </w:pPr>
      <w:r w:font="SimHei">
        <w:rPr>
          <w:rFonts w:ascii="SimHei" w:hAnsi="SimHei"/>
        </w:rPr>
        <w:t>五、建议数据库说明</w:t>
      </w:r>
    </w:p>
    <w:p>
      <w:r>
        <w:rPr>
          <w:rFonts w:ascii="SimSun" w:hAnsi="SimSun" w:eastAsia="SimSun"/>
          <w:b w:val="0"/>
          <w:sz w:val="20"/>
        </w:rPr>
        <w:t>系统内置48条发展建议（每条路径16条：10项行动建议+6项风险提示），每条建议包含：</w:t>
      </w:r>
    </w:p>
    <w:p>
      <w:r>
        <w:rPr>
          <w:rFonts w:ascii="SimSun" w:hAnsi="SimSun" w:eastAsia="SimSun"/>
          <w:b w:val="0"/>
          <w:sz w:val="20"/>
        </w:rPr>
        <w:t>- 优先级标记：🔴高优先（核心且紧急）、🟡中优先（重要但不紧迫）、🟢长期推（可逐步实施）</w:t>
      </w:r>
    </w:p>
    <w:p>
      <w:r>
        <w:rPr>
          <w:rFonts w:ascii="SimSun" w:hAnsi="SimSun" w:eastAsia="SimSun"/>
          <w:b w:val="0"/>
          <w:sz w:val="20"/>
        </w:rPr>
        <w:t>- 时间线：短期（1年内实施）、中期（1-3年实施）、长期（3年以上实施）</w:t>
      </w:r>
    </w:p>
    <w:p>
      <w:r>
        <w:rPr>
          <w:rFonts w:ascii="SimSun" w:hAnsi="SimSun" w:eastAsia="SimSun"/>
          <w:b w:val="0"/>
          <w:sz w:val="20"/>
        </w:rPr>
        <w:t>- 预期效果（💎）：建议实施后可预期的量化或质性效果</w:t>
      </w:r>
    </w:p>
    <w:p>
      <w:r>
        <w:rPr>
          <w:rFonts w:ascii="SimSun" w:hAnsi="SimSun" w:eastAsia="SimSun"/>
          <w:b w:val="0"/>
          <w:sz w:val="20"/>
        </w:rPr>
        <w:t>- 投入成本（💰）：低/中/高三级成本评估</w:t>
      </w:r>
    </w:p>
    <w:p>
      <w:pPr>
        <w:pStyle w:val="Heading2"/>
      </w:pPr>
      <w:r w:font="SimHei">
        <w:rPr>
          <w:rFonts w:ascii="SimHei" w:hAnsi="SimHei"/>
        </w:rPr>
        <w:t>六、免责声明</w:t>
      </w:r>
    </w:p>
    <w:p>
      <w:r>
        <w:rPr>
          <w:rFonts w:ascii="SimSun" w:hAnsi="SimSun" w:eastAsia="SimSun"/>
          <w:b w:val="0"/>
          <w:sz w:val="20"/>
        </w:rPr>
        <w:t>本系统为学术研究工具，评估结果仅供参考，不构成任何投资或决策建议。实际决策请结合专业咨询和地方实际情况。数据来源包括新疆统计局官方发布、地方政府公开报告及学术文献，部分数据经合理估算补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