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color w:val="0D5E33"/>
          <w:sz w:val="36"/>
        </w:rPr>
        <w:t>附录C：系统操作手册与技术说明</w:t>
      </w:r>
    </w:p>
    <w:p>
      <w:pPr>
        <w:spacing w:after="40"/>
      </w:pPr>
    </w:p>
    <w:p>
      <w:pPr>
        <w:pStyle w:val="Heading1"/>
      </w:pPr>
      <w:r>
        <w:rPr>
          <w:rFonts w:ascii="宋体" w:hAnsi="宋体" w:eastAsia="宋体"/>
          <w:b/>
          <w:color w:val="0D5E33"/>
          <w:sz w:val="32"/>
        </w:rPr>
        <w:t>一、系统概述</w:t>
      </w:r>
    </w:p>
    <w:p>
      <w:pPr>
        <w:spacing w:after="80" w:line="360" w:lineRule="auto"/>
        <w:ind w:firstLine="420"/>
      </w:pPr>
      <w:r>
        <w:rPr>
          <w:rFonts w:ascii="宋体" w:hAnsi="宋体" w:eastAsia="宋体"/>
          <w:b w:val="0"/>
          <w:sz w:val="22"/>
        </w:rPr>
        <w:t>绿算治策（Green Policy Advisor）是一个基于中观经济学理论和TOPSIS多准则决策分析方法的绿色算力产业治理决策支持系统。系统以新疆克拉玛依市（生态构建型标杆）和伊吾县（资源转化型标杆）为双案例参照，通过8项核心指标的综合评估，为地方政府和产业规划者提供科学的绿色算力发展路径匹配与定制化发展建议。</w:t>
      </w:r>
    </w:p>
    <w:p>
      <w:pPr>
        <w:spacing w:after="80" w:line="360" w:lineRule="auto"/>
        <w:ind w:firstLine="420"/>
      </w:pPr>
      <w:r>
        <w:rPr>
          <w:rFonts w:ascii="宋体" w:hAnsi="宋体" w:eastAsia="宋体"/>
          <w:b w:val="0"/>
          <w:sz w:val="22"/>
        </w:rPr>
        <w:t>系统访问地址：https://lvsuangov.vercel.app（推荐使用Chrome 90+、Edge 90+、Firefox 90+等现代浏览器）</w:t>
      </w:r>
    </w:p>
    <w:p>
      <w:pPr>
        <w:spacing w:after="80" w:line="360" w:lineRule="auto"/>
        <w:ind w:firstLine="420"/>
      </w:pPr>
      <w:r>
        <w:rPr>
          <w:rFonts w:ascii="宋体" w:hAnsi="宋体" w:eastAsia="宋体"/>
          <w:b w:val="0"/>
          <w:sz w:val="22"/>
        </w:rPr>
        <w:t>GitHub仓库：https://github.com/mz1009-web/lvsuangov（可查看源代码、提交Issue、参与改进）</w:t>
      </w:r>
    </w:p>
    <w:p>
      <w:pPr>
        <w:spacing w:after="80" w:line="360" w:lineRule="auto"/>
        <w:ind w:firstLine="420"/>
      </w:pPr>
      <w:r>
        <w:rPr>
          <w:rFonts w:ascii="宋体" w:hAnsi="宋体" w:eastAsia="宋体"/>
          <w:b w:val="0"/>
          <w:sz w:val="22"/>
        </w:rPr>
        <w:t>备用地址：https://lvsuangov.netlify.app</w:t>
      </w:r>
    </w:p>
    <w:p>
      <w:pPr>
        <w:pStyle w:val="Heading1"/>
      </w:pPr>
      <w:r>
        <w:rPr>
          <w:rFonts w:ascii="宋体" w:hAnsi="宋体" w:eastAsia="宋体"/>
          <w:b/>
          <w:color w:val="0D5E33"/>
          <w:sz w:val="32"/>
        </w:rPr>
        <w:t>二、界面布局详解</w:t>
      </w:r>
    </w:p>
    <w:p>
      <w:pPr>
        <w:spacing w:after="80" w:line="360" w:lineRule="auto"/>
        <w:ind w:firstLine="420"/>
      </w:pPr>
      <w:r>
        <w:rPr>
          <w:rFonts w:ascii="宋体" w:hAnsi="宋体" w:eastAsia="宋体"/>
          <w:b w:val="0"/>
          <w:sz w:val="22"/>
        </w:rPr>
        <w:t>系统页面由以下几个功能区组成，从上到下依次排列：</w:t>
      </w:r>
    </w:p>
    <w:p>
      <w:pPr>
        <w:spacing w:after="80" w:line="360" w:lineRule="auto"/>
        <w:ind w:firstLine="420"/>
      </w:pPr>
      <w:r>
        <w:rPr>
          <w:rFonts w:ascii="宋体" w:hAnsi="宋体" w:eastAsia="宋体"/>
          <w:b w:val="0"/>
          <w:sz w:val="20"/>
        </w:rPr>
        <w:t>顶部导航栏（固定）：深绿色渐变背景，显示系统名称"绿算治策"和副标题"绿色算力产业治理决策支持系统·基于中观经济学的路径匹配工具"。该导航栏在滚动页面时始终保持固定在屏幕顶部。</w:t>
      </w:r>
    </w:p>
    <w:p>
      <w:pPr>
        <w:spacing w:after="80" w:line="360" w:lineRule="auto"/>
        <w:ind w:firstLine="420"/>
      </w:pPr>
      <w:r>
        <w:rPr>
          <w:rFonts w:ascii="宋体" w:hAnsi="宋体" w:eastAsia="宋体"/>
          <w:b w:val="0"/>
          <w:sz w:val="20"/>
        </w:rPr>
        <w:t>参数输入区：包含一个地区名称输入框和8项评估指标的数值输入框。每项输入框均标注了单位、取值范围和提示信息（鼠标悬停显示参考值）。右侧即时显示当前输入数值。底部提供"载入克拉玛依""载入伊吾""重置"三个快捷按钮，以及"生成评估报告"主操作按钮。</w:t>
      </w:r>
    </w:p>
    <w:p>
      <w:pPr>
        <w:spacing w:after="80" w:line="360" w:lineRule="auto"/>
        <w:ind w:firstLine="420"/>
      </w:pPr>
      <w:r>
        <w:rPr>
          <w:rFonts w:ascii="宋体" w:hAnsi="宋体" w:eastAsia="宋体"/>
          <w:b w:val="0"/>
          <w:sz w:val="20"/>
        </w:rPr>
        <w:t>报告展示区：生成评估报告后，该区域动态展示完整的评估结果，包含路径匹配结果、维度评分、可视化图表、参数对比、发展建议、风险提示和参数诊断等模块。</w:t>
      </w:r>
    </w:p>
    <w:p>
      <w:pPr>
        <w:spacing w:after="80" w:line="360" w:lineRule="auto"/>
        <w:ind w:firstLine="420"/>
      </w:pPr>
      <w:r>
        <w:rPr>
          <w:rFonts w:ascii="宋体" w:hAnsi="宋体" w:eastAsia="宋体"/>
          <w:b w:val="0"/>
          <w:sz w:val="20"/>
        </w:rPr>
        <w:t>数据来源与免责声明：页面底部标注数据来源和学术免责声明。</w:t>
      </w:r>
    </w:p>
    <w:p>
      <w:pPr>
        <w:pStyle w:val="Heading1"/>
      </w:pPr>
      <w:r>
        <w:rPr>
          <w:rFonts w:ascii="宋体" w:hAnsi="宋体" w:eastAsia="宋体"/>
          <w:b/>
          <w:color w:val="0D5E33"/>
          <w:sz w:val="32"/>
        </w:rPr>
        <w:t>三、详细操作流程</w:t>
      </w:r>
    </w:p>
    <w:p>
      <w:pPr>
        <w:pStyle w:val="Heading2"/>
      </w:pPr>
      <w:r>
        <w:rPr>
          <w:rFonts w:ascii="宋体" w:hAnsi="宋体" w:eastAsia="宋体"/>
          <w:b/>
          <w:color w:val="0D5E33"/>
          <w:sz w:val="28"/>
        </w:rPr>
        <w:t>3.1 快速体验：载入标杆案例</w:t>
      </w:r>
    </w:p>
    <w:p>
      <w:pPr>
        <w:spacing w:after="80" w:line="360" w:lineRule="auto"/>
        <w:ind w:firstLine="420"/>
      </w:pPr>
      <w:r>
        <w:rPr>
          <w:rFonts w:ascii="宋体" w:hAnsi="宋体" w:eastAsia="宋体"/>
          <w:b w:val="0"/>
          <w:sz w:val="22"/>
        </w:rPr>
        <w:t>系统提供两个内置标杆案例，可一键载入体验全部功能：</w:t>
      </w:r>
    </w:p>
    <w:p>
      <w:pPr>
        <w:spacing w:after="80" w:line="360" w:lineRule="auto"/>
        <w:ind w:firstLine="420"/>
      </w:pPr>
      <w:r>
        <w:rPr>
          <w:rFonts w:ascii="宋体" w:hAnsi="宋体" w:eastAsia="宋体"/>
          <w:b w:val="0"/>
          <w:sz w:val="22"/>
        </w:rPr>
        <w:t>步骤1：打开浏览器，访问 https://lvsuangov.vercel.app。</w:t>
      </w:r>
    </w:p>
    <w:p>
      <w:pPr>
        <w:spacing w:after="80" w:line="360" w:lineRule="auto"/>
        <w:ind w:firstLine="420"/>
      </w:pPr>
      <w:r>
        <w:rPr>
          <w:rFonts w:ascii="宋体" w:hAnsi="宋体" w:eastAsia="宋体"/>
          <w:b w:val="0"/>
          <w:sz w:val="22"/>
        </w:rPr>
        <w:t>步骤2：在参数输入区底部，点击"载入克拉玛依"按钮。系统自动将8项参数填入克拉玛依的真实数据（行政层级3级、财政收入122.2亿元、企业数185家、电价0.055元/度、气温8.5℃、用地22,600亩、场景7类、高校2所）。</w:t>
      </w:r>
    </w:p>
    <w:p>
      <w:pPr>
        <w:spacing w:after="80" w:line="360" w:lineRule="auto"/>
        <w:ind w:firstLine="420"/>
      </w:pPr>
      <w:r>
        <w:rPr>
          <w:rFonts w:ascii="宋体" w:hAnsi="宋体" w:eastAsia="宋体"/>
          <w:b w:val="0"/>
          <w:sz w:val="22"/>
        </w:rPr>
        <w:t>步骤3：点击"生成评估报告"按钮，系统立即在下方展示完整的评估报告。</w:t>
      </w:r>
    </w:p>
    <w:p>
      <w:pPr>
        <w:spacing w:after="80" w:line="360" w:lineRule="auto"/>
        <w:ind w:firstLine="420"/>
      </w:pPr>
      <w:r>
        <w:rPr>
          <w:rFonts w:ascii="宋体" w:hAnsi="宋体" w:eastAsia="宋体"/>
          <w:b w:val="0"/>
          <w:sz w:val="22"/>
        </w:rPr>
        <w:t>步骤4：观察评估报告中的路径匹配结果——系统应判定克拉玛依为"生态构建型"。浏览三维模型评分、参数对比、发展建议等内容。</w:t>
      </w:r>
    </w:p>
    <w:p>
      <w:pPr>
        <w:spacing w:after="80" w:line="360" w:lineRule="auto"/>
        <w:ind w:firstLine="420"/>
      </w:pPr>
      <w:r>
        <w:rPr>
          <w:rFonts w:ascii="宋体" w:hAnsi="宋体" w:eastAsia="宋体"/>
          <w:b w:val="0"/>
          <w:sz w:val="22"/>
        </w:rPr>
        <w:t>步骤5：同样可以点击"载入伊吾"查看伊吾县的评估结果（应判定为"资源转化型"），体验不同路径类型下建议内容的差异。</w:t>
      </w:r>
    </w:p>
    <w:p>
      <w:pPr>
        <w:pStyle w:val="Heading2"/>
      </w:pPr>
      <w:r>
        <w:rPr>
          <w:rFonts w:ascii="宋体" w:hAnsi="宋体" w:eastAsia="宋体"/>
          <w:b/>
          <w:color w:val="0D5E33"/>
          <w:sz w:val="28"/>
        </w:rPr>
        <w:t>3.2 自定义地区评估</w:t>
      </w:r>
    </w:p>
    <w:p>
      <w:pPr>
        <w:spacing w:after="80" w:line="360" w:lineRule="auto"/>
        <w:ind w:firstLine="420"/>
      </w:pPr>
      <w:r>
        <w:rPr>
          <w:rFonts w:ascii="宋体" w:hAnsi="宋体" w:eastAsia="宋体"/>
          <w:b w:val="0"/>
          <w:sz w:val="22"/>
        </w:rPr>
        <w:t>如需评估其他地区（如哈密市、乌鲁木齐市等），可手动输入数据：</w:t>
      </w:r>
    </w:p>
    <w:p>
      <w:pPr>
        <w:spacing w:after="80" w:line="360" w:lineRule="auto"/>
        <w:ind w:firstLine="420"/>
      </w:pPr>
      <w:r>
        <w:rPr>
          <w:rFonts w:ascii="宋体" w:hAnsi="宋体" w:eastAsia="宋体"/>
          <w:b w:val="0"/>
          <w:sz w:val="22"/>
        </w:rPr>
        <w:t>步骤1：在"地区名称"输入框中输入你需要评估的地区名称（如"哈密市"）。</w:t>
      </w:r>
    </w:p>
    <w:p>
      <w:pPr>
        <w:spacing w:after="80" w:line="360" w:lineRule="auto"/>
        <w:ind w:firstLine="420"/>
      </w:pPr>
      <w:r>
        <w:rPr>
          <w:rFonts w:ascii="宋体" w:hAnsi="宋体" w:eastAsia="宋体"/>
          <w:b w:val="0"/>
          <w:sz w:val="22"/>
        </w:rPr>
        <w:t>步骤2：逐项填写8项评估参数。每项参数输入框右侧标注了取值范围和单位，鼠标悬停可查看参考值（如克拉玛依和伊吾的对应数据供对比参考）。</w:t>
      </w:r>
    </w:p>
    <w:p>
      <w:pPr>
        <w:spacing w:after="80" w:line="360" w:lineRule="auto"/>
        <w:ind w:firstLine="420"/>
      </w:pPr>
      <w:r>
        <w:rPr>
          <w:rFonts w:ascii="宋体" w:hAnsi="宋体" w:eastAsia="宋体"/>
          <w:b w:val="0"/>
          <w:sz w:val="22"/>
        </w:rPr>
        <w:t xml:space="preserve">  · 行政层级指数：乡镇=1、县级=2、地级市=3、副省级=4、直辖市=5</w:t>
      </w:r>
    </w:p>
    <w:p>
      <w:pPr>
        <w:spacing w:after="80" w:line="360" w:lineRule="auto"/>
        <w:ind w:firstLine="420"/>
      </w:pPr>
      <w:r>
        <w:rPr>
          <w:rFonts w:ascii="宋体" w:hAnsi="宋体" w:eastAsia="宋体"/>
          <w:b w:val="0"/>
          <w:sz w:val="22"/>
        </w:rPr>
        <w:t xml:space="preserve">  · 一般公共预算收入：单位为亿元/年，范围0-500亿元</w:t>
      </w:r>
    </w:p>
    <w:p>
      <w:pPr>
        <w:spacing w:after="80" w:line="360" w:lineRule="auto"/>
        <w:ind w:firstLine="420"/>
      </w:pPr>
      <w:r>
        <w:rPr>
          <w:rFonts w:ascii="宋体" w:hAnsi="宋体" w:eastAsia="宋体"/>
          <w:b w:val="0"/>
          <w:sz w:val="22"/>
        </w:rPr>
        <w:t xml:space="preserve">  · 数字/算力企业数：单位为家，范围0-400家</w:t>
      </w:r>
    </w:p>
    <w:p>
      <w:pPr>
        <w:spacing w:after="80" w:line="360" w:lineRule="auto"/>
        <w:ind w:firstLine="420"/>
      </w:pPr>
      <w:r>
        <w:rPr>
          <w:rFonts w:ascii="宋体" w:hAnsi="宋体" w:eastAsia="宋体"/>
          <w:b w:val="0"/>
          <w:sz w:val="22"/>
        </w:rPr>
        <w:t xml:space="preserve">  · 工业用电均价：单位为元/度，范围0.03-0.80，注意此项为【成本型】，数值越低得分越高</w:t>
      </w:r>
    </w:p>
    <w:p>
      <w:pPr>
        <w:spacing w:after="80" w:line="360" w:lineRule="auto"/>
        <w:ind w:firstLine="420"/>
      </w:pPr>
      <w:r>
        <w:rPr>
          <w:rFonts w:ascii="宋体" w:hAnsi="宋体" w:eastAsia="宋体"/>
          <w:b w:val="0"/>
          <w:sz w:val="22"/>
        </w:rPr>
        <w:t xml:space="preserve">  · 年平均气温：单位为℃，范围0-25℃，注意此项为【成本型】，数值越低得分越高</w:t>
      </w:r>
    </w:p>
    <w:p>
      <w:pPr>
        <w:spacing w:after="80" w:line="360" w:lineRule="auto"/>
        <w:ind w:firstLine="420"/>
      </w:pPr>
      <w:r>
        <w:rPr>
          <w:rFonts w:ascii="宋体" w:hAnsi="宋体" w:eastAsia="宋体"/>
          <w:b w:val="0"/>
          <w:sz w:val="22"/>
        </w:rPr>
        <w:t xml:space="preserve">  · 可用产业用地：单位为亩，范围0-50,000亩</w:t>
      </w:r>
    </w:p>
    <w:p>
      <w:pPr>
        <w:spacing w:after="80" w:line="360" w:lineRule="auto"/>
        <w:ind w:firstLine="420"/>
      </w:pPr>
      <w:r>
        <w:rPr>
          <w:rFonts w:ascii="宋体" w:hAnsi="宋体" w:eastAsia="宋体"/>
          <w:b w:val="0"/>
          <w:sz w:val="22"/>
        </w:rPr>
        <w:t xml:space="preserve">  · 算力应用场景数：单位为类，范围0-12类</w:t>
      </w:r>
    </w:p>
    <w:p>
      <w:pPr>
        <w:spacing w:after="80" w:line="360" w:lineRule="auto"/>
        <w:ind w:firstLine="420"/>
      </w:pPr>
      <w:r>
        <w:rPr>
          <w:rFonts w:ascii="宋体" w:hAnsi="宋体" w:eastAsia="宋体"/>
          <w:b w:val="0"/>
          <w:sz w:val="22"/>
        </w:rPr>
        <w:t xml:space="preserve">  · 高等教育/科研机构数：单位为所，范围0-30所</w:t>
      </w:r>
    </w:p>
    <w:p>
      <w:pPr>
        <w:spacing w:after="80" w:line="360" w:lineRule="auto"/>
        <w:ind w:firstLine="420"/>
      </w:pPr>
      <w:r>
        <w:rPr>
          <w:rFonts w:ascii="宋体" w:hAnsi="宋体" w:eastAsia="宋体"/>
          <w:b w:val="0"/>
          <w:sz w:val="22"/>
        </w:rPr>
        <w:t>步骤3：点击"生成评估报告"按钮，系统自动计算并展示评估结果。</w:t>
      </w:r>
    </w:p>
    <w:p>
      <w:pPr>
        <w:spacing w:after="80" w:line="360" w:lineRule="auto"/>
        <w:ind w:firstLine="420"/>
      </w:pPr>
      <w:r>
        <w:rPr>
          <w:rFonts w:ascii="宋体" w:hAnsi="宋体" w:eastAsia="宋体"/>
          <w:b w:val="0"/>
          <w:sz w:val="22"/>
        </w:rPr>
        <w:t>步骤4：如需重新填写，可点击"重置"按钮恢复所有输入框到克拉玛依的默认数据。</w:t>
      </w:r>
    </w:p>
    <w:p>
      <w:pPr>
        <w:pStyle w:val="Heading2"/>
      </w:pPr>
      <w:r>
        <w:rPr>
          <w:rFonts w:ascii="宋体" w:hAnsi="宋体" w:eastAsia="宋体"/>
          <w:b/>
          <w:color w:val="0D5E33"/>
          <w:sz w:val="28"/>
        </w:rPr>
        <w:t>3.3 理解评估报告</w:t>
      </w:r>
    </w:p>
    <w:p>
      <w:pPr>
        <w:spacing w:after="80" w:line="360" w:lineRule="auto"/>
        <w:ind w:firstLine="420"/>
      </w:pPr>
      <w:r>
        <w:rPr>
          <w:rFonts w:ascii="宋体" w:hAnsi="宋体" w:eastAsia="宋体"/>
          <w:b w:val="0"/>
          <w:sz w:val="22"/>
        </w:rPr>
        <w:t>生成评估报告后，报告区域从上到下包含以下模块：</w:t>
      </w:r>
    </w:p>
    <w:p>
      <w:pPr>
        <w:pStyle w:val="ListBullet"/>
        <w:spacing w:line="336" w:lineRule="auto"/>
      </w:pPr>
      <w:r>
        <w:rPr>
          <w:rFonts w:ascii="宋体" w:hAnsi="宋体" w:eastAsia="宋体"/>
          <w:b w:val="0"/>
          <w:sz w:val="20"/>
        </w:rPr>
        <w:t>（1）路径匹配结果横幅：显示判定结果（生态构建型/资源转化型/混合型），用不同的颜色标识（绿色=生态构建型、蓝色=资源转化型、橙色=混合型），下方附有简要解释。</w:t>
      </w:r>
    </w:p>
    <w:p>
      <w:pPr>
        <w:pStyle w:val="ListBullet"/>
        <w:spacing w:line="336" w:lineRule="auto"/>
      </w:pPr>
      <w:r>
        <w:rPr>
          <w:rFonts w:ascii="宋体" w:hAnsi="宋体" w:eastAsia="宋体"/>
          <w:b w:val="0"/>
          <w:sz w:val="20"/>
        </w:rPr>
        <w:t>（2）评估摘要卡片：包含四组关键数据——生态构建型匹配度（百分比）、资源转化型匹配度（百分比）、TOPSIS贴近度得分（0-1的数值）、优势维度名称。匹配度越高，说明该地区越符合对应发展路径的特征。</w:t>
      </w:r>
    </w:p>
    <w:p>
      <w:pPr>
        <w:pStyle w:val="ListBullet"/>
        <w:spacing w:line="336" w:lineRule="auto"/>
      </w:pPr>
      <w:r>
        <w:rPr>
          <w:rFonts w:ascii="宋体" w:hAnsi="宋体" w:eastAsia="宋体"/>
          <w:b w:val="0"/>
          <w:sz w:val="20"/>
        </w:rPr>
        <w:t>（3）匹配度条形图：绿色条代表生态构建型匹配度，蓝色条代表资源转化型匹配度。同时显示用户、克拉玛依、伊吾三者的贴近度数值对比。</w:t>
      </w:r>
    </w:p>
    <w:p>
      <w:pPr>
        <w:pStyle w:val="ListBullet"/>
        <w:spacing w:line="336" w:lineRule="auto"/>
      </w:pPr>
      <w:r>
        <w:rPr>
          <w:rFonts w:ascii="宋体" w:hAnsi="宋体" w:eastAsia="宋体"/>
          <w:b w:val="0"/>
          <w:sz w:val="20"/>
        </w:rPr>
        <w:t>（4）三维模型评分：三个维度卡片，分别展示用户在资源转化、公共支撑、生态构建三个维度上的得分，以及克拉玛依和伊吾在对应维度的得分作为参照。</w:t>
      </w:r>
    </w:p>
    <w:p>
      <w:pPr>
        <w:pStyle w:val="ListBullet"/>
        <w:spacing w:line="336" w:lineRule="auto"/>
      </w:pPr>
      <w:r>
        <w:rPr>
          <w:rFonts w:ascii="宋体" w:hAnsi="宋体" w:eastAsia="宋体"/>
          <w:b w:val="0"/>
          <w:sz w:val="20"/>
        </w:rPr>
        <w:t>（5）维度可视化（雷达图）：将三个维度的得分绘制为雷达图，同时显示用户（橙色）、克拉玛依（绿色）、伊吾（蓝色）的对比，直观展示各维度的优劣势。</w:t>
      </w:r>
    </w:p>
    <w:p>
      <w:pPr>
        <w:pStyle w:val="ListBullet"/>
        <w:spacing w:line="336" w:lineRule="auto"/>
      </w:pPr>
      <w:r>
        <w:rPr>
          <w:rFonts w:ascii="宋体" w:hAnsi="宋体" w:eastAsia="宋体"/>
          <w:b w:val="0"/>
          <w:sz w:val="20"/>
        </w:rPr>
        <w:t>（6）参数对比柱状图：8项指标逐一对比，显示用户、克拉玛依、伊吾三者在每项指标上的归一化得分（0-100分），绿色为克拉玛依、蓝色为伊吾、橙色为用户。</w:t>
      </w:r>
    </w:p>
    <w:p>
      <w:pPr>
        <w:pStyle w:val="ListBullet"/>
        <w:spacing w:line="336" w:lineRule="auto"/>
      </w:pPr>
      <w:r>
        <w:rPr>
          <w:rFonts w:ascii="宋体" w:hAnsi="宋体" w:eastAsia="宋体"/>
          <w:b w:val="0"/>
          <w:sz w:val="20"/>
        </w:rPr>
        <w:t>（7）发展建议：根据路径匹配结果，显示10条按优先级排序的行动建议和6条风险提示。每条建议包含优先级、短期/中期/长期时间线、预期效果和实施成本。</w:t>
      </w:r>
    </w:p>
    <w:p>
      <w:pPr>
        <w:pStyle w:val="ListBullet"/>
        <w:spacing w:line="336" w:lineRule="auto"/>
      </w:pPr>
      <w:r>
        <w:rPr>
          <w:rFonts w:ascii="宋体" w:hAnsi="宋体" w:eastAsia="宋体"/>
          <w:b w:val="0"/>
          <w:sz w:val="20"/>
        </w:rPr>
        <w:t>（8）参数诊断：标注该地区的优势指标（得分&gt;75分）和短板指标（得分&lt;20分），并给出具体的改善方向提示。</w:t>
      </w:r>
    </w:p>
    <w:p>
      <w:pPr>
        <w:pStyle w:val="ListBullet"/>
        <w:spacing w:line="336" w:lineRule="auto"/>
      </w:pPr>
      <w:r>
        <w:rPr>
          <w:rFonts w:ascii="宋体" w:hAnsi="宋体" w:eastAsia="宋体"/>
          <w:b w:val="0"/>
          <w:sz w:val="20"/>
        </w:rPr>
        <w:t>（9）完整对比表：点击"展开查看完整对比"，可查看用户、克拉玛依、伊吾三者在所有指标上的原始数值对比表（含数据等级标注）。</w:t>
      </w:r>
    </w:p>
    <w:p>
      <w:pPr>
        <w:pStyle w:val="Heading2"/>
      </w:pPr>
      <w:r>
        <w:rPr>
          <w:rFonts w:ascii="宋体" w:hAnsi="宋体" w:eastAsia="宋体"/>
          <w:b/>
          <w:color w:val="0D5E33"/>
          <w:sz w:val="28"/>
        </w:rPr>
        <w:t>3.4 导出报告</w:t>
      </w:r>
    </w:p>
    <w:p>
      <w:pPr>
        <w:spacing w:after="80" w:line="360" w:lineRule="auto"/>
        <w:ind w:firstLine="420"/>
      </w:pPr>
      <w:r>
        <w:rPr>
          <w:rFonts w:ascii="宋体" w:hAnsi="宋体" w:eastAsia="宋体"/>
          <w:b w:val="0"/>
          <w:sz w:val="22"/>
        </w:rPr>
        <w:t>系统支持两种格式的报告导出：</w:t>
      </w:r>
    </w:p>
    <w:p>
      <w:pPr>
        <w:spacing w:after="80" w:line="360" w:lineRule="auto"/>
        <w:ind w:firstLine="420"/>
      </w:pPr>
      <w:r>
        <w:rPr>
          <w:rFonts w:ascii="宋体" w:hAnsi="宋体" w:eastAsia="宋体"/>
          <w:b w:val="0"/>
          <w:sz w:val="22"/>
        </w:rPr>
        <w:t>（1）导出PDF报告：点击页面底部的"导出"按钮，在弹出的菜单中选择"PDF"。系统将自动把当前评估报告渲染为PDF文件并下载。PDF格式适合打印和提交给评委审阅。</w:t>
      </w:r>
    </w:p>
    <w:p>
      <w:pPr>
        <w:spacing w:after="80" w:line="360" w:lineRule="auto"/>
        <w:ind w:firstLine="420"/>
      </w:pPr>
      <w:r>
        <w:rPr>
          <w:rFonts w:ascii="宋体" w:hAnsi="宋体" w:eastAsia="宋体"/>
          <w:b w:val="0"/>
          <w:sz w:val="22"/>
        </w:rPr>
        <w:t>（2）导出Word报告：点击"导出"→"Word文档"。系统将生成一份包含完整评估内容（路径判定、维度评分、参数对比、建议、原始数据）的Word文档。Word格式支持后续编辑修改。</w:t>
      </w:r>
    </w:p>
    <w:p>
      <w:pPr>
        <w:spacing w:after="80" w:line="360" w:lineRule="auto"/>
        <w:ind w:firstLine="420"/>
      </w:pPr>
      <w:r>
        <w:rPr>
          <w:rFonts w:ascii="宋体" w:hAnsi="宋体" w:eastAsia="宋体"/>
          <w:b w:val="0"/>
          <w:sz w:val="20"/>
        </w:rPr>
        <w:t>注：导出的报告文件名为"绿算治策评估报告_[地区名称]_[日期].docx/pdf"。PDF导出时间取决于页面复杂度，通常需要2-5秒。</w:t>
      </w:r>
    </w:p>
    <w:p>
      <w:pPr>
        <w:pStyle w:val="Heading1"/>
      </w:pPr>
      <w:r>
        <w:rPr>
          <w:rFonts w:ascii="宋体" w:hAnsi="宋体" w:eastAsia="宋体"/>
          <w:b/>
          <w:color w:val="0D5E33"/>
          <w:sz w:val="32"/>
        </w:rPr>
        <w:t>四、功能详解与解读指南</w:t>
      </w:r>
    </w:p>
    <w:p>
      <w:pPr>
        <w:pStyle w:val="Heading2"/>
      </w:pPr>
      <w:r>
        <w:rPr>
          <w:rFonts w:ascii="宋体" w:hAnsi="宋体" w:eastAsia="宋体"/>
          <w:b/>
          <w:color w:val="0D5E33"/>
          <w:sz w:val="28"/>
        </w:rPr>
        <w:t>4.1 如何理解TOPSIS贴近度</w:t>
      </w:r>
    </w:p>
    <w:p>
      <w:pPr>
        <w:spacing w:after="80" w:line="360" w:lineRule="auto"/>
        <w:ind w:firstLine="420"/>
      </w:pPr>
      <w:r>
        <w:rPr>
          <w:rFonts w:ascii="宋体" w:hAnsi="宋体" w:eastAsia="宋体"/>
          <w:b w:val="0"/>
          <w:sz w:val="22"/>
        </w:rPr>
        <w:t>TOPSIS贴近度（Ci）的取值范围为[0,1]，数值越高表示该地区的综合条件越接近理想状态。在本系统中：</w:t>
      </w:r>
    </w:p>
    <w:p>
      <w:pPr>
        <w:spacing w:after="80" w:line="360" w:lineRule="auto"/>
        <w:ind w:firstLine="420"/>
      </w:pPr>
      <w:r>
        <w:rPr>
          <w:rFonts w:ascii="宋体" w:hAnsi="宋体" w:eastAsia="宋体"/>
          <w:b w:val="0"/>
          <w:sz w:val="22"/>
        </w:rPr>
        <w:t xml:space="preserve">  · Ci &gt; 0.7：综合条件优秀，绿色算力发展基础扎实</w:t>
      </w:r>
    </w:p>
    <w:p>
      <w:pPr>
        <w:spacing w:after="80" w:line="360" w:lineRule="auto"/>
        <w:ind w:firstLine="420"/>
      </w:pPr>
      <w:r>
        <w:rPr>
          <w:rFonts w:ascii="宋体" w:hAnsi="宋体" w:eastAsia="宋体"/>
          <w:b w:val="0"/>
          <w:sz w:val="22"/>
        </w:rPr>
        <w:t xml:space="preserve">  · 0.4 ≤ Ci ≤ 0.7：综合条件中等，部分维度需要加强</w:t>
      </w:r>
    </w:p>
    <w:p>
      <w:pPr>
        <w:spacing w:after="80" w:line="360" w:lineRule="auto"/>
        <w:ind w:firstLine="420"/>
      </w:pPr>
      <w:r>
        <w:rPr>
          <w:rFonts w:ascii="宋体" w:hAnsi="宋体" w:eastAsia="宋体"/>
          <w:b w:val="0"/>
          <w:sz w:val="22"/>
        </w:rPr>
        <w:t xml:space="preserve">  · Ci &lt; 0.4：综合条件较弱，需系统性提升多维度指标</w:t>
      </w:r>
    </w:p>
    <w:p>
      <w:pPr>
        <w:spacing w:after="80" w:line="360" w:lineRule="auto"/>
        <w:ind w:firstLine="420"/>
      </w:pPr>
      <w:r>
        <w:rPr>
          <w:rFonts w:ascii="宋体" w:hAnsi="宋体" w:eastAsia="宋体"/>
          <w:b w:val="0"/>
          <w:sz w:val="22"/>
        </w:rPr>
        <w:t>以标杆案例为例：克拉玛依Ci=0.8442（综合条件优秀，生态构建型标杆），伊吾Ci=0.1558（综合条件较弱，但成本优势突出，资源转化型标杆）。</w:t>
      </w:r>
    </w:p>
    <w:p>
      <w:pPr>
        <w:pStyle w:val="Heading2"/>
      </w:pPr>
      <w:r>
        <w:rPr>
          <w:rFonts w:ascii="宋体" w:hAnsi="宋体" w:eastAsia="宋体"/>
          <w:b/>
          <w:color w:val="0D5E33"/>
          <w:sz w:val="28"/>
        </w:rPr>
        <w:t>4.2 如何理解路径匹配结果</w:t>
      </w:r>
    </w:p>
    <w:p>
      <w:pPr>
        <w:spacing w:after="80" w:line="360" w:lineRule="auto"/>
        <w:ind w:firstLine="420"/>
      </w:pPr>
      <w:r>
        <w:rPr>
          <w:rFonts w:ascii="宋体" w:hAnsi="宋体" w:eastAsia="宋体"/>
          <w:b w:val="0"/>
          <w:sz w:val="22"/>
        </w:rPr>
        <w:t>系统通过比较用户地区与两个标杆案例的贴近度差异来确定发展路径：</w:t>
      </w:r>
    </w:p>
    <w:p>
      <w:pPr>
        <w:spacing w:after="80" w:line="360" w:lineRule="auto"/>
        <w:ind w:firstLine="420"/>
      </w:pPr>
      <w:r>
        <w:rPr>
          <w:rFonts w:ascii="宋体" w:hAnsi="宋体" w:eastAsia="宋体"/>
          <w:b w:val="0"/>
          <w:sz w:val="22"/>
        </w:rPr>
        <w:t>生态构建型（绿色）：特点是财政实力强、产业基础好、应用场景丰富。适合已有一定产业基础、有财政能力进行产业培育的地区。代表城市：克拉玛依。核心策略：设立产业基金→开放应用场景→培育产业生态→向规则输出者演进。</w:t>
      </w:r>
    </w:p>
    <w:p>
      <w:pPr>
        <w:spacing w:after="80" w:line="360" w:lineRule="auto"/>
        <w:ind w:firstLine="420"/>
      </w:pPr>
      <w:r>
        <w:rPr>
          <w:rFonts w:ascii="宋体" w:hAnsi="宋体" w:eastAsia="宋体"/>
          <w:b w:val="0"/>
          <w:sz w:val="22"/>
        </w:rPr>
        <w:t>资源转化型（蓝色）：特点是电力成本低、气候条件优越、土地资源充足。适合自然资源禀赋突出、但产业基础薄弱的地区。代表城市：伊吾。核心策略：集中建设硬基础设施→发挥成本优势招商→承接温冷数据业务→跨区域产能交换。</w:t>
      </w:r>
    </w:p>
    <w:p>
      <w:pPr>
        <w:spacing w:after="80" w:line="360" w:lineRule="auto"/>
        <w:ind w:firstLine="420"/>
      </w:pPr>
      <w:r>
        <w:rPr>
          <w:rFonts w:ascii="宋体" w:hAnsi="宋体" w:eastAsia="宋体"/>
          <w:b w:val="0"/>
          <w:sz w:val="22"/>
        </w:rPr>
        <w:t>混合型（橙色）：特点是指标均衡，无明显突出优势但也无明显短板。适合处于发展初期、两端条件都一般的地市。核心策略：审视最优势维度选择突破方向→小范围试点→逐步扩大。</w:t>
      </w:r>
    </w:p>
    <w:p>
      <w:pPr>
        <w:pStyle w:val="Heading2"/>
      </w:pPr>
      <w:r>
        <w:rPr>
          <w:rFonts w:ascii="宋体" w:hAnsi="宋体" w:eastAsia="宋体"/>
          <w:b/>
          <w:color w:val="0D5E33"/>
          <w:sz w:val="28"/>
        </w:rPr>
        <w:t>4.3 如何理解参数诊断</w:t>
      </w:r>
    </w:p>
    <w:p>
      <w:pPr>
        <w:spacing w:after="80" w:line="360" w:lineRule="auto"/>
        <w:ind w:firstLine="420"/>
      </w:pPr>
      <w:r>
        <w:rPr>
          <w:rFonts w:ascii="宋体" w:hAnsi="宋体" w:eastAsia="宋体"/>
          <w:b w:val="0"/>
          <w:sz w:val="22"/>
        </w:rPr>
        <w:t>参数诊断功能自动识别用户地区的优势指标（得分&gt;75分）和短板指标（得分&lt;20分），并给出针对性的改善建议。例如：</w:t>
      </w:r>
    </w:p>
    <w:p>
      <w:pPr>
        <w:spacing w:after="80" w:line="360" w:lineRule="auto"/>
        <w:ind w:firstLine="420"/>
      </w:pPr>
      <w:r>
        <w:rPr>
          <w:rFonts w:ascii="宋体" w:hAnsi="宋体" w:eastAsia="宋体"/>
          <w:b w:val="0"/>
          <w:sz w:val="22"/>
        </w:rPr>
        <w:t xml:space="preserve">  · 电价得分低（&gt;75分的反面&lt;20分）→ 建议推进绿电直供、签订长期购电协议</w:t>
      </w:r>
    </w:p>
    <w:p>
      <w:pPr>
        <w:spacing w:after="80" w:line="360" w:lineRule="auto"/>
        <w:ind w:firstLine="420"/>
      </w:pPr>
      <w:r>
        <w:rPr>
          <w:rFonts w:ascii="宋体" w:hAnsi="宋体" w:eastAsia="宋体"/>
          <w:b w:val="0"/>
          <w:sz w:val="22"/>
        </w:rPr>
        <w:t xml:space="preserve">  · 企业数得分低 → 建议精准招商、设立产业基金</w:t>
      </w:r>
    </w:p>
    <w:p>
      <w:pPr>
        <w:spacing w:after="80" w:line="360" w:lineRule="auto"/>
        <w:ind w:firstLine="420"/>
      </w:pPr>
      <w:r>
        <w:rPr>
          <w:rFonts w:ascii="宋体" w:hAnsi="宋体" w:eastAsia="宋体"/>
          <w:b w:val="0"/>
          <w:sz w:val="22"/>
        </w:rPr>
        <w:t xml:space="preserve">  · 高校数得分低 → 建议飞地合作、联合办学</w:t>
      </w:r>
    </w:p>
    <w:p>
      <w:pPr>
        <w:pStyle w:val="Heading1"/>
      </w:pPr>
      <w:r>
        <w:rPr>
          <w:rFonts w:ascii="宋体" w:hAnsi="宋体" w:eastAsia="宋体"/>
          <w:b/>
          <w:color w:val="0D5E33"/>
          <w:sz w:val="32"/>
        </w:rPr>
        <w:t>五、技术维护说明</w:t>
      </w:r>
    </w:p>
    <w:p>
      <w:pPr>
        <w:spacing w:after="80" w:line="360" w:lineRule="auto"/>
        <w:ind w:firstLine="420"/>
      </w:pPr>
      <w:r>
        <w:rPr>
          <w:rFonts w:ascii="宋体" w:hAnsi="宋体" w:eastAsia="宋体"/>
          <w:b w:val="0"/>
          <w:sz w:val="22"/>
        </w:rPr>
        <w:t>系统为纯前端应用，无后端服务，因此维护工作主要集中在代码更新和部署管理上。</w:t>
      </w:r>
    </w:p>
    <w:p>
      <w:pPr>
        <w:spacing w:after="80" w:line="360" w:lineRule="auto"/>
        <w:ind w:firstLine="420"/>
      </w:pPr>
      <w:r>
        <w:rPr>
          <w:rFonts w:ascii="宋体" w:hAnsi="宋体" w:eastAsia="宋体"/>
          <w:b w:val="0"/>
          <w:sz w:val="22"/>
        </w:rPr>
        <w:t>数据更新：如需更新评估数据（如新增案例地区、调整权重、更新参数范围），直接修改index.html文件中BM、RG、WT等对象的数值即可。修改后推送至GitHub，Vercel/Netlify自动重新部署。</w:t>
      </w:r>
    </w:p>
    <w:p>
      <w:pPr>
        <w:spacing w:after="80" w:line="360" w:lineRule="auto"/>
        <w:ind w:firstLine="420"/>
      </w:pPr>
      <w:r>
        <w:rPr>
          <w:rFonts w:ascii="宋体" w:hAnsi="宋体" w:eastAsia="宋体"/>
          <w:b w:val="0"/>
          <w:sz w:val="22"/>
        </w:rPr>
        <w:t>代码维护：系统使用标准HTML+CSS+JS技术栈，不依赖任何框架。如需增加功能或优化UI，直接修改index.html后推送部署。</w:t>
      </w:r>
    </w:p>
    <w:p>
      <w:pPr>
        <w:spacing w:after="80" w:line="360" w:lineRule="auto"/>
        <w:ind w:firstLine="420"/>
      </w:pPr>
      <w:r>
        <w:rPr>
          <w:rFonts w:ascii="宋体" w:hAnsi="宋体" w:eastAsia="宋体"/>
          <w:b w:val="0"/>
          <w:sz w:val="22"/>
        </w:rPr>
        <w:t>版本管理：所有版本变更加GitHub仓库（mz1009-web/lvsuangov）记录，可通过git log查看历史变更。</w:t>
      </w:r>
    </w:p>
    <w:p>
      <w:pPr>
        <w:pStyle w:val="Heading1"/>
      </w:pPr>
      <w:r>
        <w:rPr>
          <w:rFonts w:ascii="宋体" w:hAnsi="宋体" w:eastAsia="宋体"/>
          <w:b/>
          <w:color w:val="0D5E33"/>
          <w:sz w:val="32"/>
        </w:rPr>
        <w:t>六、常见问题（FAQ）</w:t>
      </w:r>
    </w:p>
    <w:p>
      <w:pPr>
        <w:spacing w:after="80" w:line="360" w:lineRule="auto"/>
        <w:ind w:firstLine="420"/>
      </w:pPr>
      <w:r>
        <w:rPr>
          <w:rFonts w:ascii="宋体" w:hAnsi="宋体" w:eastAsia="宋体"/>
          <w:b/>
          <w:sz w:val="22"/>
        </w:rPr>
        <w:t>Q: 页面加载不出来或显示空白？</w:t>
      </w:r>
    </w:p>
    <w:p>
      <w:pPr>
        <w:spacing w:after="80" w:line="360" w:lineRule="auto"/>
        <w:ind w:firstLine="420"/>
      </w:pPr>
      <w:r>
        <w:rPr>
          <w:rFonts w:ascii="宋体" w:hAnsi="宋体" w:eastAsia="宋体"/>
          <w:b w:val="0"/>
          <w:sz w:val="20"/>
        </w:rPr>
        <w:t>A: 请检查网络连接。系统托管于Vercel，国内访问可能需要代理或使用备用地址 https://lvsuangov.netlify.app。如仍无法访问，可下载index.html本地打开（双击HTML文件即可运行，无需网络）。</w:t>
      </w:r>
    </w:p>
    <w:p>
      <w:pPr>
        <w:spacing w:after="80" w:line="360" w:lineRule="auto"/>
        <w:ind w:firstLine="420"/>
      </w:pPr>
      <w:r>
        <w:rPr>
          <w:rFonts w:ascii="宋体" w:hAnsi="宋体" w:eastAsia="宋体"/>
          <w:b/>
          <w:sz w:val="22"/>
        </w:rPr>
        <w:t>Q: 输入参数后点击生成报告无反应？</w:t>
      </w:r>
    </w:p>
    <w:p>
      <w:pPr>
        <w:spacing w:after="80" w:line="360" w:lineRule="auto"/>
        <w:ind w:firstLine="420"/>
      </w:pPr>
      <w:r>
        <w:rPr>
          <w:rFonts w:ascii="宋体" w:hAnsi="宋体" w:eastAsia="宋体"/>
          <w:b w:val="0"/>
          <w:sz w:val="20"/>
        </w:rPr>
        <w:t>A: 请检查8项参数是否均在有效范围内（每个输入框有min/max限制）。如果数值超出范围，输入框会自动限制或显示错误提示。检查浏览器控制台（F12→Console）是否有报错信息。</w:t>
      </w:r>
    </w:p>
    <w:p>
      <w:pPr>
        <w:spacing w:after="80" w:line="360" w:lineRule="auto"/>
        <w:ind w:firstLine="420"/>
      </w:pPr>
      <w:r>
        <w:rPr>
          <w:rFonts w:ascii="宋体" w:hAnsi="宋体" w:eastAsia="宋体"/>
          <w:b/>
          <w:sz w:val="22"/>
        </w:rPr>
        <w:t>Q: 导出PDF/Word失败？</w:t>
      </w:r>
    </w:p>
    <w:p>
      <w:pPr>
        <w:spacing w:after="80" w:line="360" w:lineRule="auto"/>
        <w:ind w:firstLine="420"/>
      </w:pPr>
      <w:r>
        <w:rPr>
          <w:rFonts w:ascii="宋体" w:hAnsi="宋体" w:eastAsia="宋体"/>
          <w:b w:val="0"/>
          <w:sz w:val="20"/>
        </w:rPr>
        <w:t>A: PDF导出依赖html2canvas和jsPDF库，需从CDN加载。请确保网络连接正常。Word导出直接在浏览器端创建Blob文件，如限制过多可尝试换个浏览器。推荐Chrome最新版。</w:t>
      </w:r>
    </w:p>
    <w:p>
      <w:pPr>
        <w:spacing w:after="80" w:line="360" w:lineRule="auto"/>
        <w:ind w:firstLine="420"/>
      </w:pPr>
      <w:r>
        <w:rPr>
          <w:rFonts w:ascii="宋体" w:hAnsi="宋体" w:eastAsia="宋体"/>
          <w:b/>
          <w:sz w:val="22"/>
        </w:rPr>
        <w:t>Q: 评估结果与实际情况不符？</w:t>
      </w:r>
    </w:p>
    <w:p>
      <w:pPr>
        <w:spacing w:after="80" w:line="360" w:lineRule="auto"/>
        <w:ind w:firstLine="420"/>
      </w:pPr>
      <w:r>
        <w:rPr>
          <w:rFonts w:ascii="宋体" w:hAnsi="宋体" w:eastAsia="宋体"/>
          <w:b w:val="0"/>
          <w:sz w:val="20"/>
        </w:rPr>
        <w:t>A: 系统评估基于8项有限指标的数学模型，结果仅供参考。实际决策需结合专业咨询、实地调研、最新政策等多方面信息。权重和算法可根据需要进行调整。</w:t>
      </w:r>
    </w:p>
    <w:p>
      <w:pPr>
        <w:spacing w:after="80" w:line="360" w:lineRule="auto"/>
        <w:ind w:firstLine="420"/>
      </w:pPr>
      <w:r>
        <w:rPr>
          <w:rFonts w:ascii="宋体" w:hAnsi="宋体" w:eastAsia="宋体"/>
          <w:b/>
          <w:sz w:val="22"/>
        </w:rPr>
        <w:t>Q: 如何新增一个评估地区？</w:t>
      </w:r>
    </w:p>
    <w:p>
      <w:pPr>
        <w:spacing w:after="80" w:line="360" w:lineRule="auto"/>
        <w:ind w:firstLine="420"/>
      </w:pPr>
      <w:r>
        <w:rPr>
          <w:rFonts w:ascii="宋体" w:hAnsi="宋体" w:eastAsia="宋体"/>
          <w:b w:val="0"/>
          <w:sz w:val="20"/>
        </w:rPr>
        <w:t>A: 不需要修改代码。直接在"地区名称"输入框输入地区名，填写8项参数后生成报告即可。如需将该地区加入永久数据库（如下拉选项），需要修改index.html中的相关配置。</w:t>
      </w:r>
    </w:p>
    <w:p>
      <w:pPr>
        <w:spacing w:after="80" w:line="360" w:lineRule="auto"/>
        <w:ind w:firstLine="420"/>
      </w:pPr>
      <w:r>
        <w:rPr>
          <w:rFonts w:ascii="宋体" w:hAnsi="宋体" w:eastAsia="宋体"/>
          <w:b/>
          <w:sz w:val="22"/>
        </w:rPr>
        <w:t>Q: 数据来源是否可靠？</w:t>
      </w:r>
    </w:p>
    <w:p>
      <w:pPr>
        <w:spacing w:after="80" w:line="360" w:lineRule="auto"/>
        <w:ind w:firstLine="420"/>
      </w:pPr>
      <w:r>
        <w:rPr>
          <w:rFonts w:ascii="宋体" w:hAnsi="宋体" w:eastAsia="宋体"/>
          <w:b w:val="0"/>
          <w:sz w:val="20"/>
        </w:rPr>
        <w:t>A: 所有数据均标注了来源（详见附录A），来自政府公开统计和权威机构报告。但数据可能存在更新延迟，建议使用最新官方数据验证。</w:t>
      </w:r>
    </w:p>
    <w:p>
      <w:pPr>
        <w:spacing w:after="80" w:line="360" w:lineRule="auto"/>
        <w:ind w:firstLine="420"/>
      </w:pPr>
      <w:r>
        <w:rPr>
          <w:rFonts w:ascii="宋体" w:hAnsi="宋体" w:eastAsia="宋体"/>
          <w:b/>
          <w:sz w:val="22"/>
        </w:rPr>
        <w:t>Q: 手机可以正常使用吗？</w:t>
      </w:r>
    </w:p>
    <w:p>
      <w:pPr>
        <w:spacing w:after="80" w:line="360" w:lineRule="auto"/>
        <w:ind w:firstLine="420"/>
      </w:pPr>
      <w:r>
        <w:rPr>
          <w:rFonts w:ascii="宋体" w:hAnsi="宋体" w:eastAsia="宋体"/>
          <w:b w:val="0"/>
          <w:sz w:val="20"/>
        </w:rPr>
        <w:t>A: 系统针对桌面端浏览器优化，手机浏览器可以访问和填写参数，但图表展示效果可能因屏幕尺寸受限。建议在电脑上使用以获得最佳体验。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