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52"/>
        </w:rPr>
        <w:t>Models Added Beyond RF, GB, and MLP</w:t>
      </w:r>
    </w:p>
    <w:p>
      <w:pPr>
        <w:spacing w:before="0" w:after="280"/>
      </w:pPr>
      <w:r>
        <w:rPr>
          <w:rFonts w:ascii="Calibri" w:hAnsi="Calibri"/>
          <w:i/>
          <w:color w:val="2B6CB0"/>
          <w:sz w:val="26"/>
        </w:rPr>
        <w:t>Advanced Physics-Informed, Multi-Modal, and Hybrid Surrogate Modeling for PMUT Frequency Response Prediction</w:t>
      </w:r>
    </w:p>
    <w:tbl>
      <w:tblPr>
        <w:tblW w:type="auto" w:w="0"/>
        <w:jc w:val="center"/>
        <w:tblLook w:firstColumn="1" w:firstRow="1" w:lastColumn="0" w:lastRow="0" w:noHBand="0" w:noVBand="1" w:val="04A0"/>
      </w:tblPr>
      <w:tblGrid>
        <w:gridCol w:w="9360"/>
      </w:tblGrid>
      <w:tr>
        <w:tc>
          <w:tcPr>
            <w:tcW w:type="dxa" w:w="9360"/>
            <w:shd w:fill="F1F5F9"/>
            <w:tcBorders>
              <w:left w:val="single" w:sz="6" w:space="0" w:color="CBD5E0"/>
              <w:top w:val="single" w:sz="6" w:space="0" w:color="CBD5E0"/>
              <w:right w:val="single" w:sz="6" w:space="0" w:color="CBD5E0"/>
              <w:bottom w:val="single" w:sz="6" w:space="0" w:color="CBD5E0"/>
            </w:tcBorders>
            <w:tcMar>
              <w:top w:w="100" w:type="dxa"/>
              <w:bottom w:w="100" w:type="dxa"/>
              <w:left w:w="150" w:type="dxa"/>
              <w:right w:w="150" w:type="dxa"/>
            </w:tcMar>
          </w:tcPr>
          <w:p>
            <w:pPr>
              <w:spacing w:after="0"/>
            </w:pPr>
            <w:r>
              <w:rPr>
                <w:b/>
                <w:color w:val="0D9488"/>
                <w:sz w:val="19"/>
              </w:rPr>
              <w:t>PROJECT ARCHITECTURE &amp; METHODOLOGY EXTENSION REPORT</w:t>
              <w:br/>
            </w:r>
            <w:r>
              <w:rPr>
                <w:color w:val="2D3748"/>
                <w:sz w:val="19"/>
              </w:rPr>
              <w:t>Target Application: Piezoelectric Micromachined Ultrasonic Transducer (PMUT) Array Characterization</w:t>
              <w:br/>
              <w:t>Methodological Scope: Transition from tabular baselines (RF, GB, MLP) to physics-informed neural surrogates, multi-degree-of-freedom formulations, circuit models, and hybrid ensembles.</w:t>
            </w:r>
          </w:p>
        </w:tc>
      </w:tr>
    </w:tbl>
    <w:p>
      <w:pPr>
        <w:spacing w:after="120"/>
      </w:pPr>
    </w:p>
    <w:p>
      <w:pPr>
        <w:keepNext/>
        <w:spacing w:before="360" w:after="120"/>
      </w:pPr>
      <w:r>
        <w:rPr>
          <w:rFonts w:ascii="Calibri" w:hAnsi="Calibri"/>
          <w:b/>
          <w:color w:val="1A365D"/>
          <w:sz w:val="36"/>
        </w:rPr>
        <w:t>1. Introduction &amp; Implementation Architecture</w:t>
      </w:r>
    </w:p>
    <w:p>
      <w:pPr>
        <w:spacing w:before="0" w:after="120" w:line="276" w:lineRule="auto"/>
      </w:pPr>
      <w:r>
        <w:t>The project originally established conventional data-driven baseline learners: Random Forest (RF), Gradient Boosting (GB), and Multi-Layer Perceptron (MLP). While these models set a standard statistical benchmark for PMUT frequency-response prediction, they treat device behavior as a black-box mapping without structural physical awareness. To overcome limits in physical interpretability, multi-modal resonance modeling, and out-of-distribution extrapolation across sparse datasets, the project extends beyond tabular baselines by introducing physically structured models, multi-mode dynamical systems, and hybrid residual-learning frameworks.</w:t>
      </w:r>
    </w:p>
    <w:p>
      <w:pPr>
        <w:spacing w:before="0" w:after="120" w:line="276" w:lineRule="auto"/>
      </w:pPr>
      <w:r>
        <w:t>These added models are not simply alternative statistical regressors; they are explicitly engineered to encode the underlying resonance physics of PMUT devices, providing physically meaningful parameter estimations and superior extrapolation across device arrays.</w:t>
      </w:r>
    </w:p>
    <w:p>
      <w:pPr>
        <w:keepNext/>
        <w:spacing w:before="280" w:after="80"/>
      </w:pPr>
      <w:r>
        <w:rPr>
          <w:rFonts w:ascii="Calibri" w:hAnsi="Calibri"/>
          <w:b/>
          <w:color w:val="2B6CB0"/>
          <w:sz w:val="28"/>
        </w:rPr>
        <w:t>1.1 Implementation Map</w:t>
      </w:r>
    </w:p>
    <w:p>
      <w:pPr>
        <w:spacing w:before="0" w:after="120" w:line="276" w:lineRule="auto"/>
      </w:pPr>
      <w:r>
        <w:t>All additional models are organized in dedicated modular scripts within the project codebase:</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left"/>
            </w:pPr>
            <w:r>
              <w:rPr>
                <w:b/>
                <w:color w:val="FFFFFF"/>
                <w:sz w:val="20"/>
              </w:rPr>
              <w:t>Model Name</w:t>
            </w:r>
          </w:p>
        </w:tc>
        <w:tc>
          <w:tcPr>
            <w:tcW w:type="dxa" w:w="3120"/>
            <w:shd w:fill="1A365D"/>
            <w:tcMar>
              <w:top w:w="100" w:type="dxa"/>
              <w:bottom w:w="100" w:type="dxa"/>
              <w:left w:w="120" w:type="dxa"/>
              <w:right w:w="120" w:type="dxa"/>
            </w:tcMar>
          </w:tcPr>
          <w:p>
            <w:pPr>
              <w:jc w:val="left"/>
            </w:pPr>
            <w:r>
              <w:rPr>
                <w:b/>
                <w:color w:val="FFFFFF"/>
                <w:sz w:val="20"/>
              </w:rPr>
              <w:t>Source Code Location</w:t>
            </w:r>
          </w:p>
        </w:tc>
        <w:tc>
          <w:tcPr>
            <w:tcW w:type="dxa" w:w="3120"/>
            <w:shd w:fill="1A365D"/>
            <w:tcMar>
              <w:top w:w="100" w:type="dxa"/>
              <w:bottom w:w="100" w:type="dxa"/>
              <w:left w:w="120" w:type="dxa"/>
              <w:right w:w="120" w:type="dxa"/>
            </w:tcMar>
          </w:tcPr>
          <w:p>
            <w:pPr>
              <w:jc w:val="left"/>
            </w:pPr>
            <w:r>
              <w:rPr>
                <w:b/>
                <w:color w:val="FFFFFF"/>
                <w:sz w:val="20"/>
              </w:rPr>
              <w:t>Primary Modeling Paradigm</w:t>
            </w:r>
          </w:p>
        </w:tc>
      </w:tr>
      <w:tr>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PINN</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8"/>
              </w:rPr>
              <w:t>Helpers/pinn_model.py</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Single-Mode Physics-Informed Neural Network</w:t>
            </w:r>
          </w:p>
        </w:tc>
      </w:tr>
      <w:tr>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MDOF-PINN</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8"/>
              </w:rPr>
              <w:t>Helpers/mdof_pinn_model.py</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Multi-Mode Physics-Informed Neural Network</w:t>
            </w:r>
          </w:p>
        </w:tc>
      </w:tr>
      <w:tr>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PINN-Informed-Loss</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8"/>
              </w:rPr>
              <w:t>Helpers/pinn_informed_loss_model.py</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Constrained Multi-Objective Neural Network</w:t>
            </w:r>
          </w:p>
        </w:tc>
      </w:tr>
      <w:tr>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RF-MDOF-PINN Ensemble</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8"/>
              </w:rPr>
              <w:t>Helpers/rf_mdof_pinn_ensemble.py</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Hybrid Physics + Residual Forest Correction</w:t>
            </w:r>
          </w:p>
        </w:tc>
      </w:tr>
      <w:tr>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BVD Equivalent Circuit</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8"/>
              </w:rPr>
              <w:t>Helpers/bvd_model.py</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Classical Electromechanical Circuit Model</w:t>
            </w:r>
          </w:p>
        </w:tc>
      </w:tr>
      <w:tr>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MDOF Mechanical Model</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8"/>
              </w:rPr>
              <w:t>Helpers/mdof_model.py</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Multi-Degree-of-Freedom Mechanical Transfer Function</w:t>
            </w:r>
          </w:p>
        </w:tc>
      </w:tr>
    </w:tbl>
    <w:p>
      <w:pPr>
        <w:spacing w:after="200"/>
      </w:pPr>
    </w:p>
    <w:p>
      <w:pPr>
        <w:keepNext/>
        <w:spacing w:before="360" w:after="120"/>
      </w:pPr>
      <w:r>
        <w:rPr>
          <w:rFonts w:ascii="Calibri" w:hAnsi="Calibri"/>
          <w:b/>
          <w:color w:val="1A365D"/>
          <w:sz w:val="36"/>
        </w:rPr>
        <w:t>2. Detailed Methodological Breakdown of Added Models</w:t>
      </w:r>
    </w:p>
    <w:p>
      <w:pPr>
        <w:keepNext/>
        <w:spacing w:before="280" w:after="80"/>
      </w:pPr>
      <w:r>
        <w:rPr>
          <w:rFonts w:ascii="Calibri" w:hAnsi="Calibri"/>
          <w:b/>
          <w:color w:val="2B6CB0"/>
          <w:sz w:val="28"/>
        </w:rPr>
        <w:t>2.1 Physics-Informed Neural Network (PINN)</w:t>
      </w:r>
    </w:p>
    <w:p>
      <w:pPr>
        <w:spacing w:before="0" w:after="120" w:line="276" w:lineRule="auto"/>
      </w:pPr>
      <w:r>
        <w:t>A Physics-Informed Neural Network (PINN) was introduced to enforce known dynamical structure directly into the prediction architecture. Instead of learning an unconstrained mapping from PMUT device index N and frequency f to amplitude, the PINN predicts physically meaningful parameters: resonant frequency f0, damping coefficient c, stiffness k, gain G, and baseline offset Abg. The full frequency spectrum is subsequently reconstructed through a reduced-order mechanical oscillator formulation.</w:t>
      </w:r>
    </w:p>
    <w:tbl>
      <w:tblPr>
        <w:tblW w:type="auto" w:w="0"/>
        <w:jc w:val="center"/>
        <w:tblLook w:firstColumn="1" w:firstRow="1" w:lastColumn="0" w:lastRow="0" w:noHBand="0" w:noVBand="1" w:val="04A0"/>
      </w:tblPr>
      <w:tblGrid>
        <w:gridCol w:w="9360"/>
      </w:tblGrid>
      <w:tr>
        <w:tc>
          <w:tcPr>
            <w:tcW w:type="dxa" w:w="9360"/>
            <w:shd w:fill="F8FAFC"/>
            <w:tcBorders>
              <w:left w:val="single" w:sz="6" w:space="0" w:color="CBD5E0"/>
              <w:top w:val="single" w:sz="6" w:space="0" w:color="CBD5E0"/>
              <w:right w:val="single" w:sz="6" w:space="0" w:color="CBD5E0"/>
              <w:bottom w:val="single" w:sz="6" w:space="0" w:color="CBD5E0"/>
            </w:tcBorders>
            <w:tcMar>
              <w:top w:w="120" w:type="dxa"/>
              <w:bottom w:w="120" w:type="dxa"/>
              <w:left w:w="180" w:type="dxa"/>
              <w:right w:w="180" w:type="dxa"/>
            </w:tcMar>
          </w:tcPr>
          <w:p>
            <w:pPr>
              <w:spacing w:before="0" w:after="80"/>
              <w:jc w:val="center"/>
            </w:pPr>
            <w:r>
              <w:rPr>
                <w:rFonts w:ascii="Calibri" w:hAnsi="Calibri"/>
                <w:b/>
                <w:color w:val="64748B"/>
                <w:sz w:val="19"/>
              </w:rPr>
              <w:t>GOVERNING FORMULATION: Single-Mode PINN Dynamical Response</w:t>
              <w:br/>
            </w:r>
          </w:p>
          <w:p>
            <w:pPr>
              <w:spacing w:before="80" w:after="80"/>
              <w:jc w:val="center"/>
            </w:pPr>
            <w:r>
              <w:rPr>
                <w:rFonts w:ascii="Calibri" w:hAnsi="Calibri"/>
                <w:b w:val="0"/>
                <w:i/>
                <w:color w:val="1A365D"/>
                <w:sz w:val="24"/>
              </w:rPr>
              <w:t xml:space="preserve">|X(ω, N)| = </w:t>
            </w:r>
            <w:r>
              <w:rPr>
                <w:rFonts w:ascii="Calibri" w:hAnsi="Calibri"/>
                <w:b w:val="0"/>
                <w:i/>
                <w:color w:val="1A365D"/>
                <w:sz w:val="24"/>
              </w:rPr>
              <w:t>α</w:t>
            </w:r>
            <w:r>
              <w:rPr>
                <w:rFonts w:ascii="Calibri" w:hAnsi="Calibri"/>
                <w:b w:val="0"/>
                <w:i/>
                <w:color w:val="1A365D"/>
                <w:sz w:val="24"/>
                <w:vertAlign w:val="subscript"/>
              </w:rPr>
              <w:t>N</w:t>
            </w:r>
            <w:r>
              <w:rPr>
                <w:rFonts w:ascii="Calibri" w:hAnsi="Calibri"/>
                <w:b w:val="0"/>
                <w:i w:val="0"/>
                <w:color w:val="1A365D"/>
                <w:sz w:val="24"/>
              </w:rPr>
              <w:t xml:space="preserve"> · V / √[ (k</w:t>
            </w:r>
            <w:r>
              <w:rPr>
                <w:rFonts w:ascii="Calibri" w:hAnsi="Calibri"/>
                <w:b w:val="0"/>
                <w:i/>
                <w:color w:val="1A365D"/>
                <w:sz w:val="24"/>
                <w:vertAlign w:val="subscript"/>
              </w:rPr>
              <w:t>N</w:t>
            </w:r>
            <w:r>
              <w:rPr>
                <w:rFonts w:ascii="Calibri" w:hAnsi="Calibri"/>
                <w:b w:val="0"/>
                <w:i w:val="0"/>
                <w:color w:val="1A365D"/>
                <w:sz w:val="24"/>
              </w:rPr>
              <w:t xml:space="preserve"> - m · ω</w:t>
            </w:r>
            <w:r>
              <w:rPr>
                <w:rFonts w:ascii="Calibri" w:hAnsi="Calibri"/>
                <w:b w:val="0"/>
                <w:i w:val="0"/>
                <w:color w:val="1A365D"/>
                <w:sz w:val="24"/>
                <w:vertAlign w:val="superscript"/>
              </w:rPr>
              <w:t>2</w:t>
            </w:r>
            <w:r>
              <w:rPr>
                <w:rFonts w:ascii="Calibri" w:hAnsi="Calibri"/>
                <w:b w:val="0"/>
                <w:i w:val="0"/>
                <w:color w:val="1A365D"/>
                <w:sz w:val="24"/>
              </w:rPr>
              <w:t>)</w:t>
            </w:r>
            <w:r>
              <w:rPr>
                <w:rFonts w:ascii="Calibri" w:hAnsi="Calibri"/>
                <w:b w:val="0"/>
                <w:i w:val="0"/>
                <w:color w:val="1A365D"/>
                <w:sz w:val="24"/>
                <w:vertAlign w:val="superscript"/>
              </w:rPr>
              <w:t>2</w:t>
            </w:r>
            <w:r>
              <w:rPr>
                <w:rFonts w:ascii="Calibri" w:hAnsi="Calibri"/>
                <w:b w:val="0"/>
                <w:i w:val="0"/>
                <w:color w:val="1A365D"/>
                <w:sz w:val="24"/>
              </w:rPr>
              <w:t xml:space="preserve"> + (c</w:t>
            </w:r>
            <w:r>
              <w:rPr>
                <w:rFonts w:ascii="Calibri" w:hAnsi="Calibri"/>
                <w:b w:val="0"/>
                <w:i/>
                <w:color w:val="1A365D"/>
                <w:sz w:val="24"/>
                <w:vertAlign w:val="subscript"/>
              </w:rPr>
              <w:t>N</w:t>
            </w:r>
            <w:r>
              <w:rPr>
                <w:rFonts w:ascii="Calibri" w:hAnsi="Calibri"/>
                <w:b w:val="0"/>
                <w:i w:val="0"/>
                <w:color w:val="1A365D"/>
                <w:sz w:val="24"/>
              </w:rPr>
              <w:t xml:space="preserve"> · ω)</w:t>
            </w:r>
            <w:r>
              <w:rPr>
                <w:rFonts w:ascii="Calibri" w:hAnsi="Calibri"/>
                <w:b w:val="0"/>
                <w:i w:val="0"/>
                <w:color w:val="1A365D"/>
                <w:sz w:val="24"/>
                <w:vertAlign w:val="superscript"/>
              </w:rPr>
              <w:t>2</w:t>
            </w:r>
            <w:r>
              <w:rPr>
                <w:rFonts w:ascii="Calibri" w:hAnsi="Calibri"/>
                <w:b w:val="0"/>
                <w:i w:val="0"/>
                <w:color w:val="1A365D"/>
                <w:sz w:val="24"/>
              </w:rPr>
              <w:t xml:space="preserve"> + ε ]</w:t>
              <w:br/>
            </w:r>
            <w:r>
              <w:rPr>
                <w:rFonts w:ascii="Calibri" w:hAnsi="Calibri"/>
                <w:b w:val="0"/>
                <w:i/>
                <w:color w:val="1A365D"/>
                <w:sz w:val="24"/>
              </w:rPr>
              <w:t>A</w:t>
            </w:r>
            <w:r>
              <w:rPr>
                <w:rFonts w:ascii="Calibri" w:hAnsi="Calibri"/>
                <w:b w:val="0"/>
                <w:i/>
                <w:color w:val="1A365D"/>
                <w:sz w:val="24"/>
                <w:vertAlign w:val="subscript"/>
              </w:rPr>
              <w:t>pred</w:t>
            </w:r>
            <w:r>
              <w:rPr>
                <w:rFonts w:ascii="Calibri" w:hAnsi="Calibri"/>
                <w:b w:val="0"/>
                <w:i w:val="0"/>
                <w:color w:val="1A365D"/>
                <w:sz w:val="24"/>
              </w:rPr>
              <w:t>(f, N) = G</w:t>
            </w:r>
            <w:r>
              <w:rPr>
                <w:rFonts w:ascii="Calibri" w:hAnsi="Calibri"/>
                <w:b w:val="0"/>
                <w:i/>
                <w:color w:val="1A365D"/>
                <w:sz w:val="24"/>
                <w:vertAlign w:val="subscript"/>
              </w:rPr>
              <w:t>N</w:t>
            </w:r>
            <w:r>
              <w:rPr>
                <w:rFonts w:ascii="Calibri" w:hAnsi="Calibri"/>
                <w:b w:val="0"/>
                <w:i w:val="0"/>
                <w:color w:val="1A365D"/>
                <w:sz w:val="24"/>
              </w:rPr>
              <w:t xml:space="preserve"> · |X(ω, N)| + A</w:t>
            </w:r>
            <w:r>
              <w:rPr>
                <w:rFonts w:ascii="Calibri" w:hAnsi="Calibri"/>
                <w:b w:val="0"/>
                <w:i/>
                <w:color w:val="1A365D"/>
                <w:sz w:val="24"/>
                <w:vertAlign w:val="subscript"/>
              </w:rPr>
              <w:t>bg</w:t>
            </w:r>
          </w:p>
          <w:p>
            <w:pPr>
              <w:spacing w:before="80" w:after="0"/>
              <w:jc w:val="left"/>
            </w:pPr>
            <w:r>
              <w:rPr>
                <w:rFonts w:ascii="Calibri" w:hAnsi="Calibri"/>
                <w:i/>
                <w:color w:val="64748B"/>
                <w:sz w:val="19"/>
              </w:rPr>
              <w:t xml:space="preserve">where: </w:t>
            </w:r>
            <w:r>
              <w:rPr>
                <w:rFonts w:ascii="Calibri" w:hAnsi="Calibri"/>
                <w:color w:val="2D3748"/>
                <w:sz w:val="19"/>
              </w:rPr>
              <w:t>ω = 2πf is angular frequency, m is effective mass, V is excitation amplitude, αN is mode coupling, and ε is a small numerical stabilizer.</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9FF"/>
            <w:tcBorders>
              <w:left w:val="single" w:sz="36" w:space="0" w:color="0284C7"/>
              <w:top w:val="none"/>
              <w:right w:val="none"/>
              <w:bottom w:val="none"/>
            </w:tcBorders>
            <w:tcMar>
              <w:top w:w="140" w:type="dxa"/>
              <w:bottom w:w="140" w:type="dxa"/>
              <w:left w:w="200" w:type="dxa"/>
              <w:right w:w="200" w:type="dxa"/>
            </w:tcMar>
          </w:tcPr>
          <w:p>
            <w:pPr>
              <w:spacing w:before="0" w:after="60"/>
            </w:pPr>
            <w:r>
              <w:rPr>
                <w:rFonts w:ascii="Calibri" w:hAnsi="Calibri"/>
                <w:b/>
                <w:color w:val="0D9488"/>
                <w:sz w:val="20"/>
              </w:rPr>
              <w:t>WHY IT WAS INCLUDED — PINN</w:t>
            </w:r>
          </w:p>
          <w:p>
            <w:pPr>
              <w:spacing w:before="40" w:after="0" w:line="276" w:lineRule="auto"/>
            </w:pPr>
            <w:r>
              <w:rPr>
                <w:rFonts w:ascii="Calibri" w:hAnsi="Calibri"/>
                <w:color w:val="2D3748"/>
                <w:sz w:val="21"/>
              </w:rPr>
              <w:t>The PINN was added to test whether a model constrained by physical equations can generalize better than purely data-driven baselines when only a small number of PMUTs are available for training. In a regime where the training set is small, embedding dynamic structure into the model provides a stronger inductive bias than learning the entire response from raw samples alone.</w:t>
            </w:r>
          </w:p>
        </w:tc>
      </w:tr>
    </w:tbl>
    <w:p>
      <w:pPr>
        <w:spacing w:before="0" w:after="120"/>
      </w:pPr>
    </w:p>
    <w:p>
      <w:pPr>
        <w:keepNext/>
        <w:spacing w:before="280" w:after="80"/>
      </w:pPr>
      <w:r>
        <w:rPr>
          <w:rFonts w:ascii="Calibri" w:hAnsi="Calibri"/>
          <w:b/>
          <w:color w:val="2B6CB0"/>
          <w:sz w:val="28"/>
        </w:rPr>
        <w:t>2.2 Multi-Degree-of-Freedom PINN (MDOF-PINN)</w:t>
      </w:r>
    </w:p>
    <w:p>
      <w:pPr>
        <w:spacing w:before="0" w:after="120" w:line="276" w:lineRule="auto"/>
      </w:pPr>
      <w:r>
        <w:t>The MDOF-PINN extends the physics-informed paradigm to multi-mode resonant systems. Rather than assuming a single dominant mode, it models multiple resonant contributions simultaneously, each defined by its own modal amplitude Ai, resonant frequency f0,i, and quality factor Qi. This captures the true physical response of PMUT arrays, which frequently exhibit higher-order harmonic interactions and mode coupling.</w:t>
      </w:r>
    </w:p>
    <w:tbl>
      <w:tblPr>
        <w:tblW w:type="auto" w:w="0"/>
        <w:jc w:val="center"/>
        <w:tblLook w:firstColumn="1" w:firstRow="1" w:lastColumn="0" w:lastRow="0" w:noHBand="0" w:noVBand="1" w:val="04A0"/>
      </w:tblPr>
      <w:tblGrid>
        <w:gridCol w:w="9360"/>
      </w:tblGrid>
      <w:tr>
        <w:tc>
          <w:tcPr>
            <w:tcW w:type="dxa" w:w="9360"/>
            <w:shd w:fill="F8FAFC"/>
            <w:tcBorders>
              <w:left w:val="single" w:sz="6" w:space="0" w:color="CBD5E0"/>
              <w:top w:val="single" w:sz="6" w:space="0" w:color="CBD5E0"/>
              <w:right w:val="single" w:sz="6" w:space="0" w:color="CBD5E0"/>
              <w:bottom w:val="single" w:sz="6" w:space="0" w:color="CBD5E0"/>
            </w:tcBorders>
            <w:tcMar>
              <w:top w:w="120" w:type="dxa"/>
              <w:bottom w:w="120" w:type="dxa"/>
              <w:left w:w="180" w:type="dxa"/>
              <w:right w:w="180" w:type="dxa"/>
            </w:tcMar>
          </w:tcPr>
          <w:p>
            <w:pPr>
              <w:spacing w:before="0" w:after="80"/>
              <w:jc w:val="center"/>
            </w:pPr>
            <w:r>
              <w:rPr>
                <w:rFonts w:ascii="Calibri" w:hAnsi="Calibri"/>
                <w:b/>
                <w:color w:val="64748B"/>
                <w:sz w:val="19"/>
              </w:rPr>
              <w:t>GOVERNING FORMULATION: MDOF Superposition Transfer Function</w:t>
              <w:br/>
            </w:r>
          </w:p>
          <w:p>
            <w:pPr>
              <w:spacing w:before="80" w:after="80"/>
              <w:jc w:val="center"/>
            </w:pPr>
            <w:r>
              <w:rPr>
                <w:rFonts w:ascii="Calibri" w:hAnsi="Calibri"/>
                <w:b w:val="0"/>
                <w:i/>
                <w:color w:val="1A365D"/>
                <w:sz w:val="24"/>
              </w:rPr>
              <w:t>H</w:t>
            </w:r>
            <w:r>
              <w:rPr>
                <w:rFonts w:ascii="Calibri" w:hAnsi="Calibri"/>
                <w:b w:val="0"/>
                <w:i/>
                <w:color w:val="1A365D"/>
                <w:sz w:val="24"/>
                <w:vertAlign w:val="subscript"/>
              </w:rPr>
              <w:t>i</w:t>
            </w:r>
            <w:r>
              <w:rPr>
                <w:rFonts w:ascii="Calibri" w:hAnsi="Calibri"/>
                <w:b w:val="0"/>
                <w:i w:val="0"/>
                <w:color w:val="1A365D"/>
                <w:sz w:val="24"/>
              </w:rPr>
              <w:t>(ω, N) = [ A</w:t>
            </w:r>
            <w:r>
              <w:rPr>
                <w:rFonts w:ascii="Calibri" w:hAnsi="Calibri"/>
                <w:b w:val="0"/>
                <w:i/>
                <w:color w:val="1A365D"/>
                <w:sz w:val="24"/>
                <w:vertAlign w:val="subscript"/>
              </w:rPr>
              <w:t>i</w:t>
            </w:r>
            <w:r>
              <w:rPr>
                <w:rFonts w:ascii="Calibri" w:hAnsi="Calibri"/>
                <w:b w:val="0"/>
                <w:i w:val="0"/>
                <w:color w:val="1A365D"/>
                <w:sz w:val="24"/>
              </w:rPr>
              <w:t>(N) · ω</w:t>
            </w:r>
            <w:r>
              <w:rPr>
                <w:rFonts w:ascii="Calibri" w:hAnsi="Calibri"/>
                <w:b w:val="0"/>
                <w:i/>
                <w:color w:val="1A365D"/>
                <w:sz w:val="24"/>
                <w:vertAlign w:val="subscript"/>
              </w:rPr>
              <w:t>0,i</w:t>
            </w:r>
            <w:r>
              <w:rPr>
                <w:rFonts w:ascii="Calibri" w:hAnsi="Calibri"/>
                <w:b w:val="0"/>
                <w:i w:val="0"/>
                <w:color w:val="1A365D"/>
                <w:sz w:val="24"/>
              </w:rPr>
              <w:t>(N)</w:t>
            </w:r>
            <w:r>
              <w:rPr>
                <w:rFonts w:ascii="Calibri" w:hAnsi="Calibri"/>
                <w:b w:val="0"/>
                <w:i w:val="0"/>
                <w:color w:val="1A365D"/>
                <w:sz w:val="24"/>
                <w:vertAlign w:val="superscript"/>
              </w:rPr>
              <w:t>2</w:t>
            </w:r>
            <w:r>
              <w:rPr>
                <w:rFonts w:ascii="Calibri" w:hAnsi="Calibri"/>
                <w:b w:val="0"/>
                <w:i w:val="0"/>
                <w:color w:val="1A365D"/>
                <w:sz w:val="24"/>
              </w:rPr>
              <w:t xml:space="preserve"> ] / [ (ω</w:t>
            </w:r>
            <w:r>
              <w:rPr>
                <w:rFonts w:ascii="Calibri" w:hAnsi="Calibri"/>
                <w:b w:val="0"/>
                <w:i/>
                <w:color w:val="1A365D"/>
                <w:sz w:val="24"/>
                <w:vertAlign w:val="subscript"/>
              </w:rPr>
              <w:t>0,i</w:t>
            </w:r>
            <w:r>
              <w:rPr>
                <w:rFonts w:ascii="Calibri" w:hAnsi="Calibri"/>
                <w:b w:val="0"/>
                <w:i w:val="0"/>
                <w:color w:val="1A365D"/>
                <w:sz w:val="24"/>
              </w:rPr>
              <w:t>(N)</w:t>
            </w:r>
            <w:r>
              <w:rPr>
                <w:rFonts w:ascii="Calibri" w:hAnsi="Calibri"/>
                <w:b w:val="0"/>
                <w:i w:val="0"/>
                <w:color w:val="1A365D"/>
                <w:sz w:val="24"/>
                <w:vertAlign w:val="superscript"/>
              </w:rPr>
              <w:t>2</w:t>
            </w:r>
            <w:r>
              <w:rPr>
                <w:rFonts w:ascii="Calibri" w:hAnsi="Calibri"/>
                <w:b w:val="0"/>
                <w:i w:val="0"/>
                <w:color w:val="1A365D"/>
                <w:sz w:val="24"/>
              </w:rPr>
              <w:t xml:space="preserve"> - ω</w:t>
            </w:r>
            <w:r>
              <w:rPr>
                <w:rFonts w:ascii="Calibri" w:hAnsi="Calibri"/>
                <w:b w:val="0"/>
                <w:i w:val="0"/>
                <w:color w:val="1A365D"/>
                <w:sz w:val="24"/>
                <w:vertAlign w:val="superscript"/>
              </w:rPr>
              <w:t>2</w:t>
            </w:r>
            <w:r>
              <w:rPr>
                <w:rFonts w:ascii="Calibri" w:hAnsi="Calibri"/>
                <w:b w:val="0"/>
                <w:i w:val="0"/>
                <w:color w:val="1A365D"/>
                <w:sz w:val="24"/>
              </w:rPr>
              <w:t>) + j · ω</w:t>
            </w:r>
            <w:r>
              <w:rPr>
                <w:rFonts w:ascii="Calibri" w:hAnsi="Calibri"/>
                <w:b w:val="0"/>
                <w:i/>
                <w:color w:val="1A365D"/>
                <w:sz w:val="24"/>
                <w:vertAlign w:val="subscript"/>
              </w:rPr>
              <w:t>0,i</w:t>
            </w:r>
            <w:r>
              <w:rPr>
                <w:rFonts w:ascii="Calibri" w:hAnsi="Calibri"/>
                <w:b w:val="0"/>
                <w:i w:val="0"/>
                <w:color w:val="1A365D"/>
                <w:sz w:val="24"/>
              </w:rPr>
              <w:t>(N) · ω / Q</w:t>
            </w:r>
            <w:r>
              <w:rPr>
                <w:rFonts w:ascii="Calibri" w:hAnsi="Calibri"/>
                <w:b w:val="0"/>
                <w:i/>
                <w:color w:val="1A365D"/>
                <w:sz w:val="24"/>
                <w:vertAlign w:val="subscript"/>
              </w:rPr>
              <w:t>i</w:t>
            </w:r>
            <w:r>
              <w:rPr>
                <w:rFonts w:ascii="Calibri" w:hAnsi="Calibri"/>
                <w:b w:val="0"/>
                <w:i w:val="0"/>
                <w:color w:val="1A365D"/>
                <w:sz w:val="24"/>
              </w:rPr>
              <w:t>(N) ]</w:t>
              <w:br/>
            </w:r>
            <w:r>
              <w:rPr>
                <w:rFonts w:ascii="Calibri" w:hAnsi="Calibri"/>
                <w:b w:val="0"/>
                <w:i/>
                <w:color w:val="1A365D"/>
                <w:sz w:val="24"/>
              </w:rPr>
              <w:t>A</w:t>
            </w:r>
            <w:r>
              <w:rPr>
                <w:rFonts w:ascii="Calibri" w:hAnsi="Calibri"/>
                <w:b w:val="0"/>
                <w:i/>
                <w:color w:val="1A365D"/>
                <w:sz w:val="24"/>
                <w:vertAlign w:val="subscript"/>
              </w:rPr>
              <w:t>pred</w:t>
            </w:r>
            <w:r>
              <w:rPr>
                <w:rFonts w:ascii="Calibri" w:hAnsi="Calibri"/>
                <w:b w:val="0"/>
                <w:i w:val="0"/>
                <w:color w:val="1A365D"/>
                <w:sz w:val="24"/>
              </w:rPr>
              <w:t>(f, N) = | ∑</w:t>
            </w:r>
            <w:r>
              <w:rPr>
                <w:rFonts w:ascii="Calibri" w:hAnsi="Calibri"/>
                <w:b w:val="0"/>
                <w:i/>
                <w:color w:val="1A365D"/>
                <w:sz w:val="24"/>
                <w:vertAlign w:val="subscript"/>
              </w:rPr>
              <w:t>i=1..K</w:t>
            </w:r>
            <w:r>
              <w:rPr>
                <w:rFonts w:ascii="Calibri" w:hAnsi="Calibri"/>
                <w:b w:val="0"/>
                <w:i/>
                <w:color w:val="1A365D"/>
                <w:sz w:val="24"/>
              </w:rPr>
              <w:t xml:space="preserve"> H</w:t>
            </w:r>
            <w:r>
              <w:rPr>
                <w:rFonts w:ascii="Calibri" w:hAnsi="Calibri"/>
                <w:b w:val="0"/>
                <w:i/>
                <w:color w:val="1A365D"/>
                <w:sz w:val="24"/>
                <w:vertAlign w:val="subscript"/>
              </w:rPr>
              <w:t>i</w:t>
            </w:r>
            <w:r>
              <w:rPr>
                <w:rFonts w:ascii="Calibri" w:hAnsi="Calibri"/>
                <w:b w:val="0"/>
                <w:i w:val="0"/>
                <w:color w:val="1A365D"/>
                <w:sz w:val="24"/>
              </w:rPr>
              <w:t>(ω, N) | + A</w:t>
            </w:r>
            <w:r>
              <w:rPr>
                <w:rFonts w:ascii="Calibri" w:hAnsi="Calibri"/>
                <w:b w:val="0"/>
                <w:i/>
                <w:color w:val="1A365D"/>
                <w:sz w:val="24"/>
                <w:vertAlign w:val="subscript"/>
              </w:rPr>
              <w:t>bg</w:t>
            </w:r>
            <w:r>
              <w:rPr>
                <w:rFonts w:ascii="Calibri" w:hAnsi="Calibri"/>
                <w:b w:val="0"/>
                <w:i w:val="0"/>
                <w:color w:val="1A365D"/>
                <w:sz w:val="24"/>
              </w:rPr>
              <w:t>(N)</w:t>
            </w:r>
          </w:p>
          <w:p>
            <w:pPr>
              <w:spacing w:before="80" w:after="0"/>
              <w:jc w:val="left"/>
            </w:pPr>
            <w:r>
              <w:rPr>
                <w:rFonts w:ascii="Calibri" w:hAnsi="Calibri"/>
                <w:i/>
                <w:color w:val="64748B"/>
                <w:sz w:val="19"/>
              </w:rPr>
              <w:t xml:space="preserve">where: </w:t>
            </w:r>
            <w:r>
              <w:rPr>
                <w:rFonts w:ascii="Calibri" w:hAnsi="Calibri"/>
                <w:color w:val="2D3748"/>
                <w:sz w:val="19"/>
              </w:rPr>
              <w:t>K is the total number of active resonant modes, ω0,i is the natural frequency of mode i, Qi is the quality factor, and j is the imaginary unit.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9FF"/>
            <w:tcBorders>
              <w:left w:val="single" w:sz="36" w:space="0" w:color="0284C7"/>
              <w:top w:val="none"/>
              <w:right w:val="none"/>
              <w:bottom w:val="none"/>
            </w:tcBorders>
            <w:tcMar>
              <w:top w:w="140" w:type="dxa"/>
              <w:bottom w:w="140" w:type="dxa"/>
              <w:left w:w="200" w:type="dxa"/>
              <w:right w:w="200" w:type="dxa"/>
            </w:tcMar>
          </w:tcPr>
          <w:p>
            <w:pPr>
              <w:spacing w:before="0" w:after="60"/>
            </w:pPr>
            <w:r>
              <w:rPr>
                <w:rFonts w:ascii="Calibri" w:hAnsi="Calibri"/>
                <w:b/>
                <w:color w:val="0D9488"/>
                <w:sz w:val="20"/>
              </w:rPr>
              <w:t>WHY IT WAS INCLUDED — MDOF-PINN</w:t>
            </w:r>
          </w:p>
          <w:p>
            <w:pPr>
              <w:spacing w:before="40" w:after="0" w:line="276" w:lineRule="auto"/>
            </w:pPr>
            <w:r>
              <w:rPr>
                <w:rFonts w:ascii="Calibri" w:hAnsi="Calibri"/>
                <w:color w:val="2D3748"/>
                <w:sz w:val="21"/>
              </w:rPr>
              <w:t>This model was added to represent multi-modal dynamic behavior that cannot be adequately captured by single-degree-of-freedom formulations. It was introduced to test whether explicitly modeling multiple resonant modes leads to better signal reconstruction and parameter estimation across a PMUT population.</w:t>
            </w:r>
          </w:p>
        </w:tc>
      </w:tr>
    </w:tbl>
    <w:p>
      <w:pPr>
        <w:spacing w:before="0" w:after="120"/>
      </w:pPr>
    </w:p>
    <w:p>
      <w:pPr>
        <w:keepNext/>
        <w:spacing w:before="280" w:after="80"/>
      </w:pPr>
      <w:r>
        <w:rPr>
          <w:rFonts w:ascii="Calibri" w:hAnsi="Calibri"/>
          <w:b/>
          <w:color w:val="2B6CB0"/>
          <w:sz w:val="28"/>
        </w:rPr>
        <w:t>2.3 PINN-Informed-Loss Model</w:t>
      </w:r>
    </w:p>
    <w:p>
      <w:pPr>
        <w:spacing w:before="0" w:after="120" w:line="276" w:lineRule="auto"/>
      </w:pPr>
      <w:r>
        <w:t>The PINN-Informed-Loss model enhances the physics framework by embedding physical and spatial regularity constraints directly into the loss function during training. Instead of relying solely on MSE error optimization, the network minimizes a balanced multi-objective loss:</w:t>
      </w:r>
    </w:p>
    <w:tbl>
      <w:tblPr>
        <w:tblW w:type="auto" w:w="0"/>
        <w:jc w:val="center"/>
        <w:tblLook w:firstColumn="1" w:firstRow="1" w:lastColumn="0" w:lastRow="0" w:noHBand="0" w:noVBand="1" w:val="04A0"/>
      </w:tblPr>
      <w:tblGrid>
        <w:gridCol w:w="9360"/>
      </w:tblGrid>
      <w:tr>
        <w:tc>
          <w:tcPr>
            <w:tcW w:type="dxa" w:w="9360"/>
            <w:shd w:fill="F8FAFC"/>
            <w:tcBorders>
              <w:left w:val="single" w:sz="6" w:space="0" w:color="CBD5E0"/>
              <w:top w:val="single" w:sz="6" w:space="0" w:color="CBD5E0"/>
              <w:right w:val="single" w:sz="6" w:space="0" w:color="CBD5E0"/>
              <w:bottom w:val="single" w:sz="6" w:space="0" w:color="CBD5E0"/>
            </w:tcBorders>
            <w:tcMar>
              <w:top w:w="120" w:type="dxa"/>
              <w:bottom w:w="120" w:type="dxa"/>
              <w:left w:w="180" w:type="dxa"/>
              <w:right w:w="180" w:type="dxa"/>
            </w:tcMar>
          </w:tcPr>
          <w:p>
            <w:pPr>
              <w:spacing w:before="0" w:after="80"/>
              <w:jc w:val="center"/>
            </w:pPr>
            <w:r>
              <w:rPr>
                <w:rFonts w:ascii="Calibri" w:hAnsi="Calibri"/>
                <w:b/>
                <w:color w:val="64748B"/>
                <w:sz w:val="19"/>
              </w:rPr>
              <w:t>GOVERNING FORMULATION: Constrained Regularized Loss Formulation</w:t>
              <w:br/>
            </w:r>
          </w:p>
          <w:p>
            <w:pPr>
              <w:spacing w:before="80" w:after="80"/>
              <w:jc w:val="center"/>
            </w:pPr>
            <w:r>
              <w:rPr>
                <w:rFonts w:ascii="Calibri" w:hAnsi="Calibri"/>
                <w:b w:val="0"/>
                <w:i/>
                <w:color w:val="1A365D"/>
                <w:sz w:val="24"/>
              </w:rPr>
              <w:t>L</w:t>
            </w:r>
            <w:r>
              <w:rPr>
                <w:rFonts w:ascii="Calibri" w:hAnsi="Calibri"/>
                <w:b w:val="0"/>
                <w:i/>
                <w:color w:val="1A365D"/>
                <w:sz w:val="24"/>
                <w:vertAlign w:val="subscript"/>
              </w:rPr>
              <w:t>total</w:t>
            </w:r>
            <w:r>
              <w:rPr>
                <w:rFonts w:ascii="Calibri" w:hAnsi="Calibri"/>
                <w:b w:val="0"/>
                <w:i w:val="0"/>
                <w:color w:val="1A365D"/>
                <w:sz w:val="24"/>
              </w:rPr>
              <w:t xml:space="preserve"> = λ</w:t>
            </w:r>
            <w:r>
              <w:rPr>
                <w:rFonts w:ascii="Calibri" w:hAnsi="Calibri"/>
                <w:b w:val="0"/>
                <w:i/>
                <w:color w:val="1A365D"/>
                <w:sz w:val="24"/>
                <w:vertAlign w:val="subscript"/>
              </w:rPr>
              <w:t>d</w:t>
            </w:r>
            <w:r>
              <w:rPr>
                <w:rFonts w:ascii="Calibri" w:hAnsi="Calibri"/>
                <w:b w:val="0"/>
                <w:i w:val="0"/>
                <w:color w:val="1A365D"/>
                <w:sz w:val="24"/>
              </w:rPr>
              <w:t xml:space="preserve"> · L</w:t>
            </w:r>
            <w:r>
              <w:rPr>
                <w:rFonts w:ascii="Calibri" w:hAnsi="Calibri"/>
                <w:b w:val="0"/>
                <w:i/>
                <w:color w:val="1A365D"/>
                <w:sz w:val="24"/>
                <w:vertAlign w:val="subscript"/>
              </w:rPr>
              <w:t>data</w:t>
            </w:r>
            <w:r>
              <w:rPr>
                <w:rFonts w:ascii="Calibri" w:hAnsi="Calibri"/>
                <w:b w:val="0"/>
                <w:i w:val="0"/>
                <w:color w:val="1A365D"/>
                <w:sz w:val="24"/>
              </w:rPr>
              <w:t xml:space="preserve"> + λ</w:t>
            </w:r>
            <w:r>
              <w:rPr>
                <w:rFonts w:ascii="Calibri" w:hAnsi="Calibri"/>
                <w:b w:val="0"/>
                <w:i/>
                <w:color w:val="1A365D"/>
                <w:sz w:val="24"/>
                <w:vertAlign w:val="subscript"/>
              </w:rPr>
              <w:t>p</w:t>
            </w:r>
            <w:r>
              <w:rPr>
                <w:rFonts w:ascii="Calibri" w:hAnsi="Calibri"/>
                <w:b w:val="0"/>
                <w:i w:val="0"/>
                <w:color w:val="1A365D"/>
                <w:sz w:val="24"/>
              </w:rPr>
              <w:t xml:space="preserve"> · L</w:t>
            </w:r>
            <w:r>
              <w:rPr>
                <w:rFonts w:ascii="Calibri" w:hAnsi="Calibri"/>
                <w:b w:val="0"/>
                <w:i/>
                <w:color w:val="1A365D"/>
                <w:sz w:val="24"/>
                <w:vertAlign w:val="subscript"/>
              </w:rPr>
              <w:t>physics</w:t>
            </w:r>
            <w:r>
              <w:rPr>
                <w:rFonts w:ascii="Calibri" w:hAnsi="Calibri"/>
                <w:b w:val="0"/>
                <w:i w:val="0"/>
                <w:color w:val="1A365D"/>
                <w:sz w:val="24"/>
              </w:rPr>
              <w:t xml:space="preserve"> + λ</w:t>
            </w:r>
            <w:r>
              <w:rPr>
                <w:rFonts w:ascii="Calibri" w:hAnsi="Calibri"/>
                <w:b w:val="0"/>
                <w:i/>
                <w:color w:val="1A365D"/>
                <w:sz w:val="24"/>
                <w:vertAlign w:val="subscript"/>
              </w:rPr>
              <w:t>s</w:t>
            </w:r>
            <w:r>
              <w:rPr>
                <w:rFonts w:ascii="Calibri" w:hAnsi="Calibri"/>
                <w:b w:val="0"/>
                <w:i w:val="0"/>
                <w:color w:val="1A365D"/>
                <w:sz w:val="24"/>
              </w:rPr>
              <w:t xml:space="preserve"> · L</w:t>
            </w:r>
            <w:r>
              <w:rPr>
                <w:rFonts w:ascii="Calibri" w:hAnsi="Calibri"/>
                <w:b w:val="0"/>
                <w:i/>
                <w:color w:val="1A365D"/>
                <w:sz w:val="24"/>
                <w:vertAlign w:val="subscript"/>
              </w:rPr>
              <w:t>smooth</w:t>
            </w:r>
            <w:r>
              <w:rPr>
                <w:rFonts w:ascii="Calibri" w:hAnsi="Calibri"/>
                <w:b w:val="0"/>
                <w:i w:val="0"/>
                <w:color w:val="1A365D"/>
                <w:sz w:val="24"/>
              </w:rPr>
              <w:br/>
              <w:t>where: L</w:t>
            </w:r>
            <w:r>
              <w:rPr>
                <w:rFonts w:ascii="Calibri" w:hAnsi="Calibri"/>
                <w:b w:val="0"/>
                <w:i/>
                <w:color w:val="1A365D"/>
                <w:sz w:val="24"/>
                <w:vertAlign w:val="subscript"/>
              </w:rPr>
              <w:t>data</w:t>
            </w:r>
            <w:r>
              <w:rPr>
                <w:rFonts w:ascii="Calibri" w:hAnsi="Calibri"/>
                <w:b w:val="0"/>
                <w:i w:val="0"/>
                <w:color w:val="1A365D"/>
                <w:sz w:val="24"/>
              </w:rPr>
              <w:t xml:space="preserve"> = (1 / M) · ∑</w:t>
            </w:r>
            <w:r>
              <w:rPr>
                <w:rFonts w:ascii="Calibri" w:hAnsi="Calibri"/>
                <w:b w:val="0"/>
                <w:i/>
                <w:color w:val="1A365D"/>
                <w:sz w:val="24"/>
                <w:vertAlign w:val="subscript"/>
              </w:rPr>
              <w:t>i=1..M</w:t>
            </w:r>
            <w:r>
              <w:rPr>
                <w:rFonts w:ascii="Calibri" w:hAnsi="Calibri"/>
                <w:b w:val="0"/>
                <w:i w:val="0"/>
                <w:color w:val="1A365D"/>
                <w:sz w:val="24"/>
              </w:rPr>
              <w:t xml:space="preserve"> ( A</w:t>
            </w:r>
            <w:r>
              <w:rPr>
                <w:rFonts w:ascii="Calibri" w:hAnsi="Calibri"/>
                <w:b w:val="0"/>
                <w:i/>
                <w:color w:val="1A365D"/>
                <w:sz w:val="24"/>
                <w:vertAlign w:val="subscript"/>
              </w:rPr>
              <w:t>pred,i</w:t>
            </w:r>
            <w:r>
              <w:rPr>
                <w:rFonts w:ascii="Calibri" w:hAnsi="Calibri"/>
                <w:b w:val="0"/>
                <w:i w:val="0"/>
                <w:color w:val="1A365D"/>
                <w:sz w:val="24"/>
              </w:rPr>
              <w:t xml:space="preserve"> - A</w:t>
            </w:r>
            <w:r>
              <w:rPr>
                <w:rFonts w:ascii="Calibri" w:hAnsi="Calibri"/>
                <w:b w:val="0"/>
                <w:i/>
                <w:color w:val="1A365D"/>
                <w:sz w:val="24"/>
                <w:vertAlign w:val="subscript"/>
              </w:rPr>
              <w:t>exp,i</w:t>
            </w:r>
            <w:r>
              <w:rPr>
                <w:rFonts w:ascii="Calibri" w:hAnsi="Calibri"/>
                <w:b w:val="0"/>
                <w:i w:val="0"/>
                <w:color w:val="1A365D"/>
                <w:sz w:val="24"/>
              </w:rPr>
              <w:t xml:space="preserve"> )</w:t>
            </w:r>
            <w:r>
              <w:rPr>
                <w:rFonts w:ascii="Calibri" w:hAnsi="Calibri"/>
                <w:b w:val="0"/>
                <w:i w:val="0"/>
                <w:color w:val="1A365D"/>
                <w:sz w:val="24"/>
                <w:vertAlign w:val="superscript"/>
              </w:rPr>
              <w:t>2</w:t>
            </w:r>
          </w:p>
          <w:p>
            <w:pPr>
              <w:spacing w:before="80" w:after="0"/>
              <w:jc w:val="left"/>
            </w:pPr>
            <w:r>
              <w:rPr>
                <w:rFonts w:ascii="Calibri" w:hAnsi="Calibri"/>
                <w:i/>
                <w:color w:val="64748B"/>
                <w:sz w:val="19"/>
              </w:rPr>
              <w:t xml:space="preserve">where: </w:t>
            </w:r>
            <w:r>
              <w:rPr>
                <w:rFonts w:ascii="Calibri" w:hAnsi="Calibri"/>
                <w:color w:val="2D3748"/>
                <w:sz w:val="19"/>
              </w:rPr>
              <w:t>Ldata measures prediction error, Lphysics penalizes nonphysical parameters (e.g. negative stiffness or unrealistic damping), Lsmooth penalizes excessive variation between neighboring PMUT indices, and λ terms are weighting hyper-parameters.</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9FF"/>
            <w:tcBorders>
              <w:left w:val="single" w:sz="36" w:space="0" w:color="0284C7"/>
              <w:top w:val="none"/>
              <w:right w:val="none"/>
              <w:bottom w:val="none"/>
            </w:tcBorders>
            <w:tcMar>
              <w:top w:w="140" w:type="dxa"/>
              <w:bottom w:w="140" w:type="dxa"/>
              <w:left w:w="200" w:type="dxa"/>
              <w:right w:w="200" w:type="dxa"/>
            </w:tcMar>
          </w:tcPr>
          <w:p>
            <w:pPr>
              <w:spacing w:before="0" w:after="60"/>
            </w:pPr>
            <w:r>
              <w:rPr>
                <w:rFonts w:ascii="Calibri" w:hAnsi="Calibri"/>
                <w:b/>
                <w:color w:val="0D9488"/>
                <w:sz w:val="20"/>
              </w:rPr>
              <w:t>WHY IT WAS INCLUDED — PINN-INFORMED-LOSS</w:t>
            </w:r>
          </w:p>
          <w:p>
            <w:pPr>
              <w:spacing w:before="40" w:after="0" w:line="276" w:lineRule="auto"/>
            </w:pPr>
            <w:r>
              <w:rPr>
                <w:rFonts w:ascii="Calibri" w:hAnsi="Calibri"/>
                <w:color w:val="2D3748"/>
                <w:sz w:val="21"/>
              </w:rPr>
              <w:t>The informed-loss model was introduced as a stronger constrained-learning strategy: the network is trained not only to fit the measured response but also to respect physical constraints and smoothness across the PMUT array. This reduces the risk of producing nonphysical parameter combinations while maintaining predictive capability.</w:t>
            </w:r>
          </w:p>
        </w:tc>
      </w:tr>
    </w:tbl>
    <w:p>
      <w:pPr>
        <w:spacing w:before="0" w:after="120"/>
      </w:pPr>
    </w:p>
    <w:p>
      <w:pPr>
        <w:keepNext/>
        <w:spacing w:before="280" w:after="80"/>
      </w:pPr>
      <w:r>
        <w:rPr>
          <w:rFonts w:ascii="Calibri" w:hAnsi="Calibri"/>
          <w:b/>
          <w:color w:val="2B6CB0"/>
          <w:sz w:val="28"/>
        </w:rPr>
        <w:t>2.4 RF-MDOF-PINN Ensemble (Hybrid Physics + Residual Learning)</w:t>
      </w:r>
    </w:p>
    <w:p>
      <w:pPr>
        <w:spacing w:before="0" w:after="120" w:line="276" w:lineRule="auto"/>
      </w:pPr>
      <w:r>
        <w:t>The RF-MDOF-PINN ensemble couples a physics-informed backbone with a Random Forest residual corrector. The base physics model fits the fundamental resonant structure, while the Random Forest predicts systematic residual errors resulting from micro-fabrication variances or unmodeled high-order dynamics.</w:t>
      </w:r>
    </w:p>
    <w:tbl>
      <w:tblPr>
        <w:tblW w:type="auto" w:w="0"/>
        <w:jc w:val="center"/>
        <w:tblLook w:firstColumn="1" w:firstRow="1" w:lastColumn="0" w:lastRow="0" w:noHBand="0" w:noVBand="1" w:val="04A0"/>
      </w:tblPr>
      <w:tblGrid>
        <w:gridCol w:w="9360"/>
      </w:tblGrid>
      <w:tr>
        <w:tc>
          <w:tcPr>
            <w:tcW w:type="dxa" w:w="9360"/>
            <w:shd w:fill="F8FAFC"/>
            <w:tcBorders>
              <w:left w:val="single" w:sz="6" w:space="0" w:color="CBD5E0"/>
              <w:top w:val="single" w:sz="6" w:space="0" w:color="CBD5E0"/>
              <w:right w:val="single" w:sz="6" w:space="0" w:color="CBD5E0"/>
              <w:bottom w:val="single" w:sz="6" w:space="0" w:color="CBD5E0"/>
            </w:tcBorders>
            <w:tcMar>
              <w:top w:w="120" w:type="dxa"/>
              <w:bottom w:w="120" w:type="dxa"/>
              <w:left w:w="180" w:type="dxa"/>
              <w:right w:w="180" w:type="dxa"/>
            </w:tcMar>
          </w:tcPr>
          <w:p>
            <w:pPr>
              <w:spacing w:before="0" w:after="80"/>
              <w:jc w:val="center"/>
            </w:pPr>
            <w:r>
              <w:rPr>
                <w:rFonts w:ascii="Calibri" w:hAnsi="Calibri"/>
                <w:b/>
                <w:color w:val="64748B"/>
                <w:sz w:val="19"/>
              </w:rPr>
              <w:t>GOVERNING FORMULATION: Hybrid Residual Correction Scheme</w:t>
              <w:br/>
            </w:r>
          </w:p>
          <w:p>
            <w:pPr>
              <w:spacing w:before="80" w:after="80"/>
              <w:jc w:val="center"/>
            </w:pPr>
            <w:r>
              <w:rPr>
                <w:rFonts w:ascii="Calibri" w:hAnsi="Calibri"/>
                <w:b w:val="0"/>
                <w:i/>
                <w:color w:val="1A365D"/>
                <w:sz w:val="24"/>
              </w:rPr>
              <w:t>A</w:t>
            </w:r>
            <w:r>
              <w:rPr>
                <w:rFonts w:ascii="Calibri" w:hAnsi="Calibri"/>
                <w:b w:val="0"/>
                <w:i/>
                <w:color w:val="1A365D"/>
                <w:sz w:val="24"/>
                <w:vertAlign w:val="subscript"/>
              </w:rPr>
              <w:t>ensemble</w:t>
            </w:r>
            <w:r>
              <w:rPr>
                <w:rFonts w:ascii="Calibri" w:hAnsi="Calibri"/>
                <w:b w:val="0"/>
                <w:i w:val="0"/>
                <w:color w:val="1A365D"/>
                <w:sz w:val="24"/>
              </w:rPr>
              <w:t>(f, N) = A</w:t>
            </w:r>
            <w:r>
              <w:rPr>
                <w:rFonts w:ascii="Calibri" w:hAnsi="Calibri"/>
                <w:b w:val="0"/>
                <w:i/>
                <w:color w:val="1A365D"/>
                <w:sz w:val="24"/>
                <w:vertAlign w:val="subscript"/>
              </w:rPr>
              <w:t>phys</w:t>
            </w:r>
            <w:r>
              <w:rPr>
                <w:rFonts w:ascii="Calibri" w:hAnsi="Calibri"/>
                <w:b w:val="0"/>
                <w:i w:val="0"/>
                <w:color w:val="1A365D"/>
                <w:sz w:val="24"/>
              </w:rPr>
              <w:t>(f, N) + r</w:t>
            </w:r>
            <w:r>
              <w:rPr>
                <w:rFonts w:ascii="Calibri" w:hAnsi="Calibri"/>
                <w:b w:val="0"/>
                <w:i/>
                <w:color w:val="1A365D"/>
                <w:sz w:val="24"/>
                <w:vertAlign w:val="subscript"/>
              </w:rPr>
              <w:t>RF</w:t>
            </w:r>
            <w:r>
              <w:rPr>
                <w:rFonts w:ascii="Calibri" w:hAnsi="Calibri"/>
                <w:b w:val="0"/>
                <w:i w:val="0"/>
                <w:color w:val="1A365D"/>
                <w:sz w:val="24"/>
              </w:rPr>
              <w:t>(f, N)</w:t>
            </w:r>
          </w:p>
          <w:p>
            <w:pPr>
              <w:spacing w:before="80" w:after="0"/>
              <w:jc w:val="left"/>
            </w:pPr>
            <w:r>
              <w:rPr>
                <w:rFonts w:ascii="Calibri" w:hAnsi="Calibri"/>
                <w:i/>
                <w:color w:val="64748B"/>
                <w:sz w:val="19"/>
              </w:rPr>
              <w:t xml:space="preserve">where: </w:t>
            </w:r>
            <w:r>
              <w:rPr>
                <w:rFonts w:ascii="Calibri" w:hAnsi="Calibri"/>
                <w:color w:val="2D3748"/>
                <w:sz w:val="19"/>
              </w:rPr>
              <w:t>Aphys(f, N) is the physics prediction from MDOF-PINN, and rRF(f, N) is the residual error modeled by Random Forest.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9FF"/>
            <w:tcBorders>
              <w:left w:val="single" w:sz="36" w:space="0" w:color="0284C7"/>
              <w:top w:val="none"/>
              <w:right w:val="none"/>
              <w:bottom w:val="none"/>
            </w:tcBorders>
            <w:tcMar>
              <w:top w:w="140" w:type="dxa"/>
              <w:bottom w:w="140" w:type="dxa"/>
              <w:left w:w="200" w:type="dxa"/>
              <w:right w:w="200" w:type="dxa"/>
            </w:tcMar>
          </w:tcPr>
          <w:p>
            <w:pPr>
              <w:spacing w:before="0" w:after="60"/>
            </w:pPr>
            <w:r>
              <w:rPr>
                <w:rFonts w:ascii="Calibri" w:hAnsi="Calibri"/>
                <w:b/>
                <w:color w:val="0D9488"/>
                <w:sz w:val="20"/>
              </w:rPr>
              <w:t>WHY IT WAS INCLUDED — RF-MDOF-PINN ENSEMBLE</w:t>
            </w:r>
          </w:p>
          <w:p>
            <w:pPr>
              <w:spacing w:before="40" w:after="0" w:line="276" w:lineRule="auto"/>
            </w:pPr>
            <w:r>
              <w:rPr>
                <w:rFonts w:ascii="Calibri" w:hAnsi="Calibri"/>
                <w:color w:val="2D3748"/>
                <w:sz w:val="21"/>
              </w:rPr>
              <w:t>This model was added to test the benefit of a hybrid 'physics + correction' strategy. Instead of relying completely on a fixed physics model or a completely unconstrained machine learner, the ensemble uses one model to capture the dominant structure and another to model remaining discrepancies. This is valuable in settings where the physical model is informative but not exact.</w:t>
            </w:r>
          </w:p>
        </w:tc>
      </w:tr>
    </w:tbl>
    <w:p>
      <w:pPr>
        <w:spacing w:before="0" w:after="120"/>
      </w:pPr>
    </w:p>
    <w:p>
      <w:pPr>
        <w:keepNext/>
        <w:spacing w:before="280" w:after="80"/>
      </w:pPr>
      <w:r>
        <w:rPr>
          <w:rFonts w:ascii="Calibri" w:hAnsi="Calibri"/>
          <w:b/>
          <w:color w:val="2B6CB0"/>
          <w:sz w:val="28"/>
        </w:rPr>
        <w:t>2.5 Butterworth–Van Dyke (BVD) Equivalent-Circuit Model</w:t>
      </w:r>
    </w:p>
    <w:p>
      <w:pPr>
        <w:spacing w:before="0" w:after="120" w:line="276" w:lineRule="auto"/>
      </w:pPr>
      <w:r>
        <w:t>The Butterworth–Van Dyke (BVD) model is a classical electromechanical circuit representation for resonant piezoelectric transducers. It expresses PMUT electrical admittance and acoustic impedance in terms of equivalent lumped parameters: motional resistance Rm (damping), motional inductance Lm (mass), motional capacitance Cm (compliance), and parallel static capacitance C0.</w:t>
      </w:r>
    </w:p>
    <w:p>
      <w:pPr>
        <w:spacing w:before="0" w:after="120" w:line="276" w:lineRule="auto"/>
      </w:pPr>
      <w:r>
        <w:t>Implemented in Helpers/bvd_model.py, the model fits frequency-response spectra directly to extract physical parameters associated with electromechanical coupling and energy dissipation.</w:t>
      </w:r>
    </w:p>
    <w:tbl>
      <w:tblPr>
        <w:tblW w:type="auto" w:w="0"/>
        <w:jc w:val="center"/>
        <w:tblLook w:firstColumn="1" w:firstRow="1" w:lastColumn="0" w:lastRow="0" w:noHBand="0" w:noVBand="1" w:val="04A0"/>
      </w:tblPr>
      <w:tblGrid>
        <w:gridCol w:w="9360"/>
      </w:tblGrid>
      <w:tr>
        <w:tc>
          <w:tcPr>
            <w:tcW w:type="dxa" w:w="9360"/>
            <w:shd w:fill="F0F9FF"/>
            <w:tcBorders>
              <w:left w:val="single" w:sz="36" w:space="0" w:color="0284C7"/>
              <w:top w:val="none"/>
              <w:right w:val="none"/>
              <w:bottom w:val="none"/>
            </w:tcBorders>
            <w:tcMar>
              <w:top w:w="140" w:type="dxa"/>
              <w:bottom w:w="140" w:type="dxa"/>
              <w:left w:w="200" w:type="dxa"/>
              <w:right w:w="200" w:type="dxa"/>
            </w:tcMar>
          </w:tcPr>
          <w:p>
            <w:pPr>
              <w:spacing w:before="0" w:after="60"/>
            </w:pPr>
            <w:r>
              <w:rPr>
                <w:rFonts w:ascii="Calibri" w:hAnsi="Calibri"/>
                <w:b/>
                <w:color w:val="0D9488"/>
                <w:sz w:val="20"/>
              </w:rPr>
              <w:t>WHY IT WAS INCLUDED — BVD MODEL</w:t>
            </w:r>
          </w:p>
          <w:p>
            <w:pPr>
              <w:spacing w:before="40" w:after="0" w:line="276" w:lineRule="auto"/>
            </w:pPr>
            <w:r>
              <w:rPr>
                <w:rFonts w:ascii="Calibri" w:hAnsi="Calibri"/>
                <w:color w:val="2D3748"/>
                <w:sz w:val="21"/>
              </w:rPr>
              <w:t>The BVD model was added to provide a classical, well-established physical baseline against which more recent physics-informed and hybrid methods could be compared. It is useful for interpreting the PMUT response in conventional circuit terms and for benchmarking whether learned models capture physically meaningful trends.</w:t>
            </w:r>
          </w:p>
        </w:tc>
      </w:tr>
    </w:tbl>
    <w:p>
      <w:pPr>
        <w:spacing w:before="0" w:after="120"/>
      </w:pPr>
    </w:p>
    <w:p>
      <w:pPr>
        <w:keepNext/>
        <w:spacing w:before="280" w:after="80"/>
      </w:pPr>
      <w:r>
        <w:rPr>
          <w:rFonts w:ascii="Calibri" w:hAnsi="Calibri"/>
          <w:b/>
          <w:color w:val="2B6CB0"/>
          <w:sz w:val="28"/>
        </w:rPr>
        <w:t>2.6 MDOF Mechanical Model</w:t>
      </w:r>
    </w:p>
    <w:p>
      <w:pPr>
        <w:spacing w:before="0" w:after="120" w:line="276" w:lineRule="auto"/>
      </w:pPr>
      <w:r>
        <w:t>The Multi-Degree-of-Freedom (MDOF) mechanical model decomposes PMUT vibration into a linear superposition of individual modal responses. Each mechanical mode is parametrized by modal amplitude Ai, resonant frequency f0,i, and damping/quality factor Qi.</w:t>
      </w:r>
    </w:p>
    <w:tbl>
      <w:tblPr>
        <w:tblW w:type="auto" w:w="0"/>
        <w:jc w:val="center"/>
        <w:tblLook w:firstColumn="1" w:firstRow="1" w:lastColumn="0" w:lastRow="0" w:noHBand="0" w:noVBand="1" w:val="04A0"/>
      </w:tblPr>
      <w:tblGrid>
        <w:gridCol w:w="9360"/>
      </w:tblGrid>
      <w:tr>
        <w:tc>
          <w:tcPr>
            <w:tcW w:type="dxa" w:w="9360"/>
            <w:shd w:fill="F8FAFC"/>
            <w:tcBorders>
              <w:left w:val="single" w:sz="6" w:space="0" w:color="CBD5E0"/>
              <w:top w:val="single" w:sz="6" w:space="0" w:color="CBD5E0"/>
              <w:right w:val="single" w:sz="6" w:space="0" w:color="CBD5E0"/>
              <w:bottom w:val="single" w:sz="6" w:space="0" w:color="CBD5E0"/>
            </w:tcBorders>
            <w:tcMar>
              <w:top w:w="120" w:type="dxa"/>
              <w:bottom w:w="120" w:type="dxa"/>
              <w:left w:w="180" w:type="dxa"/>
              <w:right w:w="180" w:type="dxa"/>
            </w:tcMar>
          </w:tcPr>
          <w:p>
            <w:pPr>
              <w:spacing w:before="0" w:after="80"/>
              <w:jc w:val="center"/>
            </w:pPr>
            <w:r>
              <w:rPr>
                <w:rFonts w:ascii="Calibri" w:hAnsi="Calibri"/>
                <w:b/>
                <w:color w:val="64748B"/>
                <w:sz w:val="19"/>
              </w:rPr>
              <w:t>GOVERNING FORMULATION: Mechanical Modal Superposition</w:t>
              <w:br/>
            </w:r>
          </w:p>
          <w:p>
            <w:pPr>
              <w:spacing w:before="80" w:after="80"/>
              <w:jc w:val="center"/>
            </w:pPr>
            <w:r>
              <w:rPr>
                <w:rFonts w:ascii="Calibri" w:hAnsi="Calibri"/>
                <w:b w:val="0"/>
                <w:i/>
                <w:color w:val="1A365D"/>
                <w:sz w:val="24"/>
              </w:rPr>
              <w:t>A</w:t>
            </w:r>
            <w:r>
              <w:rPr>
                <w:rFonts w:ascii="Calibri" w:hAnsi="Calibri"/>
                <w:b w:val="0"/>
                <w:i/>
                <w:color w:val="1A365D"/>
                <w:sz w:val="24"/>
                <w:vertAlign w:val="subscript"/>
              </w:rPr>
              <w:t>pred</w:t>
            </w:r>
            <w:r>
              <w:rPr>
                <w:rFonts w:ascii="Calibri" w:hAnsi="Calibri"/>
                <w:b w:val="0"/>
                <w:i w:val="0"/>
                <w:color w:val="1A365D"/>
                <w:sz w:val="24"/>
              </w:rPr>
              <w:t>(f) = A</w:t>
            </w:r>
            <w:r>
              <w:rPr>
                <w:rFonts w:ascii="Calibri" w:hAnsi="Calibri"/>
                <w:b w:val="0"/>
                <w:i/>
                <w:color w:val="1A365D"/>
                <w:sz w:val="24"/>
                <w:vertAlign w:val="subscript"/>
              </w:rPr>
              <w:t>bg</w:t>
            </w:r>
            <w:r>
              <w:rPr>
                <w:rFonts w:ascii="Calibri" w:hAnsi="Calibri"/>
                <w:b w:val="0"/>
                <w:i w:val="0"/>
                <w:color w:val="1A365D"/>
                <w:sz w:val="24"/>
              </w:rPr>
              <w:t xml:space="preserve"> + ∑</w:t>
            </w:r>
            <w:r>
              <w:rPr>
                <w:rFonts w:ascii="Calibri" w:hAnsi="Calibri"/>
                <w:b w:val="0"/>
                <w:i/>
                <w:color w:val="1A365D"/>
                <w:sz w:val="24"/>
                <w:vertAlign w:val="subscript"/>
              </w:rPr>
              <w:t>i=1..K</w:t>
            </w:r>
            <w:r>
              <w:rPr>
                <w:rFonts w:ascii="Calibri" w:hAnsi="Calibri"/>
                <w:b w:val="0"/>
                <w:i w:val="0"/>
                <w:color w:val="1A365D"/>
                <w:sz w:val="24"/>
              </w:rPr>
              <w:t xml:space="preserve"> A</w:t>
            </w:r>
            <w:r>
              <w:rPr>
                <w:rFonts w:ascii="Calibri" w:hAnsi="Calibri"/>
                <w:b w:val="0"/>
                <w:i/>
                <w:color w:val="1A365D"/>
                <w:sz w:val="24"/>
                <w:vertAlign w:val="subscript"/>
              </w:rPr>
              <w:t>i</w:t>
            </w:r>
            <w:r>
              <w:rPr>
                <w:rFonts w:ascii="Calibri" w:hAnsi="Calibri"/>
                <w:b w:val="0"/>
                <w:i w:val="0"/>
                <w:color w:val="1A365D"/>
                <w:sz w:val="24"/>
              </w:rPr>
              <w:t xml:space="preserve"> · Φ</w:t>
            </w:r>
            <w:r>
              <w:rPr>
                <w:rFonts w:ascii="Calibri" w:hAnsi="Calibri"/>
                <w:b w:val="0"/>
                <w:i/>
                <w:color w:val="1A365D"/>
                <w:sz w:val="24"/>
                <w:vertAlign w:val="subscript"/>
              </w:rPr>
              <w:t>i</w:t>
            </w:r>
            <w:r>
              <w:rPr>
                <w:rFonts w:ascii="Calibri" w:hAnsi="Calibri"/>
                <w:b w:val="0"/>
                <w:i w:val="0"/>
                <w:color w:val="1A365D"/>
                <w:sz w:val="24"/>
              </w:rPr>
              <w:t>(f; f</w:t>
            </w:r>
            <w:r>
              <w:rPr>
                <w:rFonts w:ascii="Calibri" w:hAnsi="Calibri"/>
                <w:b w:val="0"/>
                <w:i/>
                <w:color w:val="1A365D"/>
                <w:sz w:val="24"/>
                <w:vertAlign w:val="subscript"/>
              </w:rPr>
              <w:t>0,i</w:t>
            </w:r>
            <w:r>
              <w:rPr>
                <w:rFonts w:ascii="Calibri" w:hAnsi="Calibri"/>
                <w:b w:val="0"/>
                <w:i w:val="0"/>
                <w:color w:val="1A365D"/>
                <w:sz w:val="24"/>
              </w:rPr>
              <w:t>, Q</w:t>
            </w:r>
            <w:r>
              <w:rPr>
                <w:rFonts w:ascii="Calibri" w:hAnsi="Calibri"/>
                <w:b w:val="0"/>
                <w:i/>
                <w:color w:val="1A365D"/>
                <w:sz w:val="24"/>
                <w:vertAlign w:val="subscript"/>
              </w:rPr>
              <w:t>i</w:t>
            </w:r>
            <w:r>
              <w:rPr>
                <w:rFonts w:ascii="Calibri" w:hAnsi="Calibri"/>
                <w:b w:val="0"/>
                <w:i w:val="0"/>
                <w:color w:val="1A365D"/>
                <w:sz w:val="24"/>
              </w:rPr>
              <w:t>)</w:t>
            </w:r>
          </w:p>
          <w:p>
            <w:pPr>
              <w:spacing w:before="80" w:after="0"/>
              <w:jc w:val="left"/>
            </w:pPr>
            <w:r>
              <w:rPr>
                <w:rFonts w:ascii="Calibri" w:hAnsi="Calibri"/>
                <w:i/>
                <w:color w:val="64748B"/>
                <w:sz w:val="19"/>
              </w:rPr>
              <w:t xml:space="preserve">where: </w:t>
            </w:r>
            <w:r>
              <w:rPr>
                <w:rFonts w:ascii="Calibri" w:hAnsi="Calibri"/>
                <w:color w:val="2D3748"/>
                <w:sz w:val="19"/>
              </w:rPr>
              <w:t>Φi is the normalized complex modal transfer function for mode i, and Abg is the baseline acoustic/mechanical offset.</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0F9FF"/>
            <w:tcBorders>
              <w:left w:val="single" w:sz="36" w:space="0" w:color="0284C7"/>
              <w:top w:val="none"/>
              <w:right w:val="none"/>
              <w:bottom w:val="none"/>
            </w:tcBorders>
            <w:tcMar>
              <w:top w:w="140" w:type="dxa"/>
              <w:bottom w:w="140" w:type="dxa"/>
              <w:left w:w="200" w:type="dxa"/>
              <w:right w:w="200" w:type="dxa"/>
            </w:tcMar>
          </w:tcPr>
          <w:p>
            <w:pPr>
              <w:spacing w:before="0" w:after="60"/>
            </w:pPr>
            <w:r>
              <w:rPr>
                <w:rFonts w:ascii="Calibri" w:hAnsi="Calibri"/>
                <w:b/>
                <w:color w:val="0D9488"/>
                <w:sz w:val="20"/>
              </w:rPr>
              <w:t>WHY IT WAS INCLUDED — MDOF MECHANICAL MODEL</w:t>
            </w:r>
          </w:p>
          <w:p>
            <w:pPr>
              <w:spacing w:before="40" w:after="0" w:line="276" w:lineRule="auto"/>
            </w:pPr>
            <w:r>
              <w:rPr>
                <w:rFonts w:ascii="Calibri" w:hAnsi="Calibri"/>
                <w:color w:val="2D3748"/>
                <w:sz w:val="21"/>
              </w:rPr>
              <w:t>This model was added to characterize the governing mechanical structure of the PMUT array more explicitly. It provides an interpretable and physically grounded alternative to purely statistical learning and supports direct comparison with PINN-based and MDOF-PINN formulations.</w:t>
            </w:r>
          </w:p>
        </w:tc>
      </w:tr>
    </w:tbl>
    <w:p>
      <w:pPr>
        <w:spacing w:before="0" w:after="120"/>
      </w:pPr>
    </w:p>
    <w:p>
      <w:pPr>
        <w:keepNext/>
        <w:spacing w:before="360" w:after="120"/>
      </w:pPr>
      <w:r>
        <w:rPr>
          <w:rFonts w:ascii="Calibri" w:hAnsi="Calibri"/>
          <w:b/>
          <w:color w:val="1A365D"/>
          <w:sz w:val="36"/>
        </w:rPr>
        <w:t>3. Evaluation Logic, Metrics &amp; Diagnostic Results</w:t>
      </w:r>
    </w:p>
    <w:p>
      <w:pPr>
        <w:spacing w:before="0" w:after="120" w:line="276" w:lineRule="auto"/>
      </w:pPr>
      <w:r>
        <w:t>All models are benchmarked using a standardized evaluation framework to ensure rigorous comparisons across predictive accuracy, spectral fidelity, and generalization capacity.</w:t>
      </w:r>
    </w:p>
    <w:p>
      <w:pPr>
        <w:keepNext/>
        <w:spacing w:before="280" w:after="80"/>
      </w:pPr>
      <w:r>
        <w:rPr>
          <w:rFonts w:ascii="Calibri" w:hAnsi="Calibri"/>
          <w:b/>
          <w:color w:val="2B6CB0"/>
          <w:sz w:val="28"/>
        </w:rPr>
        <w:t>3.1 Core Evaluation Metrics</w:t>
      </w:r>
    </w:p>
    <w:p>
      <w:pPr>
        <w:spacing w:before="0" w:after="120" w:line="276" w:lineRule="auto"/>
      </w:pPr>
      <w:r>
        <w:t>Two standard performance metrics are tracked across all experiments:</w:t>
      </w:r>
    </w:p>
    <w:tbl>
      <w:tblPr>
        <w:tblW w:type="auto" w:w="0"/>
        <w:jc w:val="center"/>
        <w:tblLook w:firstColumn="1" w:firstRow="1" w:lastColumn="0" w:lastRow="0" w:noHBand="0" w:noVBand="1" w:val="04A0"/>
      </w:tblPr>
      <w:tblGrid>
        <w:gridCol w:w="9360"/>
      </w:tblGrid>
      <w:tr>
        <w:tc>
          <w:tcPr>
            <w:tcW w:type="dxa" w:w="9360"/>
            <w:shd w:fill="F8FAFC"/>
            <w:tcBorders>
              <w:left w:val="single" w:sz="6" w:space="0" w:color="CBD5E0"/>
              <w:top w:val="single" w:sz="6" w:space="0" w:color="CBD5E0"/>
              <w:right w:val="single" w:sz="6" w:space="0" w:color="CBD5E0"/>
              <w:bottom w:val="single" w:sz="6" w:space="0" w:color="CBD5E0"/>
            </w:tcBorders>
            <w:tcMar>
              <w:top w:w="120" w:type="dxa"/>
              <w:bottom w:w="120" w:type="dxa"/>
              <w:left w:w="180" w:type="dxa"/>
              <w:right w:w="180" w:type="dxa"/>
            </w:tcMar>
          </w:tcPr>
          <w:p>
            <w:pPr>
              <w:spacing w:before="0" w:after="80"/>
              <w:jc w:val="center"/>
            </w:pPr>
            <w:r>
              <w:rPr>
                <w:rFonts w:ascii="Calibri" w:hAnsi="Calibri"/>
                <w:b/>
                <w:color w:val="64748B"/>
                <w:sz w:val="19"/>
              </w:rPr>
              <w:t>GOVERNING FORMULATION: Evaluation Metrics (MAE &amp; R²)</w:t>
              <w:br/>
            </w:r>
          </w:p>
          <w:p>
            <w:pPr>
              <w:spacing w:before="80" w:after="80"/>
              <w:jc w:val="center"/>
            </w:pPr>
            <w:r>
              <w:rPr>
                <w:rFonts w:ascii="Calibri" w:hAnsi="Calibri"/>
                <w:b w:val="0"/>
                <w:i w:val="0"/>
                <w:color w:val="1A365D"/>
                <w:sz w:val="24"/>
              </w:rPr>
              <w:t>MAE = (1 / n) · ∑</w:t>
            </w:r>
            <w:r>
              <w:rPr>
                <w:rFonts w:ascii="Calibri" w:hAnsi="Calibri"/>
                <w:b w:val="0"/>
                <w:i/>
                <w:color w:val="1A365D"/>
                <w:sz w:val="24"/>
                <w:vertAlign w:val="subscript"/>
              </w:rPr>
              <w:t>i=1..n</w:t>
            </w:r>
            <w:r>
              <w:rPr>
                <w:rFonts w:ascii="Calibri" w:hAnsi="Calibri"/>
                <w:b w:val="0"/>
                <w:i w:val="0"/>
                <w:color w:val="1A365D"/>
                <w:sz w:val="24"/>
              </w:rPr>
              <w:t xml:space="preserve"> | y</w:t>
            </w:r>
            <w:r>
              <w:rPr>
                <w:rFonts w:ascii="Calibri" w:hAnsi="Calibri"/>
                <w:b w:val="0"/>
                <w:i/>
                <w:color w:val="1A365D"/>
                <w:sz w:val="24"/>
                <w:vertAlign w:val="subscript"/>
              </w:rPr>
              <w:t>i</w:t>
            </w:r>
            <w:r>
              <w:rPr>
                <w:rFonts w:ascii="Calibri" w:hAnsi="Calibri"/>
                <w:b w:val="0"/>
                <w:i w:val="0"/>
                <w:color w:val="1A365D"/>
                <w:sz w:val="24"/>
              </w:rPr>
              <w:t xml:space="preserve"> - ŷ</w:t>
            </w:r>
            <w:r>
              <w:rPr>
                <w:rFonts w:ascii="Calibri" w:hAnsi="Calibri"/>
                <w:b w:val="0"/>
                <w:i/>
                <w:color w:val="1A365D"/>
                <w:sz w:val="24"/>
                <w:vertAlign w:val="subscript"/>
              </w:rPr>
              <w:t>i</w:t>
            </w:r>
            <w:r>
              <w:rPr>
                <w:rFonts w:ascii="Calibri" w:hAnsi="Calibri"/>
                <w:b w:val="0"/>
                <w:i w:val="0"/>
                <w:color w:val="1A365D"/>
                <w:sz w:val="24"/>
              </w:rPr>
              <w:t xml:space="preserve"> |</w:t>
              <w:br/>
            </w:r>
            <w:r>
              <w:rPr>
                <w:rFonts w:ascii="Calibri" w:hAnsi="Calibri"/>
                <w:b w:val="0"/>
                <w:i/>
                <w:color w:val="1A365D"/>
                <w:sz w:val="24"/>
              </w:rPr>
              <w:t>R</w:t>
            </w:r>
            <w:r>
              <w:rPr>
                <w:rFonts w:ascii="Calibri" w:hAnsi="Calibri"/>
                <w:b w:val="0"/>
                <w:i w:val="0"/>
                <w:color w:val="1A365D"/>
                <w:sz w:val="24"/>
                <w:vertAlign w:val="superscript"/>
              </w:rPr>
              <w:t>2</w:t>
            </w:r>
            <w:r>
              <w:rPr>
                <w:rFonts w:ascii="Calibri" w:hAnsi="Calibri"/>
                <w:b w:val="0"/>
                <w:i w:val="0"/>
                <w:color w:val="1A365D"/>
                <w:sz w:val="24"/>
              </w:rPr>
              <w:t xml:space="preserve"> = 1 - [ ∑</w:t>
            </w:r>
            <w:r>
              <w:rPr>
                <w:rFonts w:ascii="Calibri" w:hAnsi="Calibri"/>
                <w:b w:val="0"/>
                <w:i/>
                <w:color w:val="1A365D"/>
                <w:sz w:val="24"/>
                <w:vertAlign w:val="subscript"/>
              </w:rPr>
              <w:t>i</w:t>
            </w:r>
            <w:r>
              <w:rPr>
                <w:rFonts w:ascii="Calibri" w:hAnsi="Calibri"/>
                <w:b w:val="0"/>
                <w:i w:val="0"/>
                <w:color w:val="1A365D"/>
                <w:sz w:val="24"/>
              </w:rPr>
              <w:t xml:space="preserve"> ( y</w:t>
            </w:r>
            <w:r>
              <w:rPr>
                <w:rFonts w:ascii="Calibri" w:hAnsi="Calibri"/>
                <w:b w:val="0"/>
                <w:i/>
                <w:color w:val="1A365D"/>
                <w:sz w:val="24"/>
                <w:vertAlign w:val="subscript"/>
              </w:rPr>
              <w:t>i</w:t>
            </w:r>
            <w:r>
              <w:rPr>
                <w:rFonts w:ascii="Calibri" w:hAnsi="Calibri"/>
                <w:b w:val="0"/>
                <w:i w:val="0"/>
                <w:color w:val="1A365D"/>
                <w:sz w:val="24"/>
              </w:rPr>
              <w:t xml:space="preserve"> - ŷ</w:t>
            </w:r>
            <w:r>
              <w:rPr>
                <w:rFonts w:ascii="Calibri" w:hAnsi="Calibri"/>
                <w:b w:val="0"/>
                <w:i/>
                <w:color w:val="1A365D"/>
                <w:sz w:val="24"/>
                <w:vertAlign w:val="subscript"/>
              </w:rPr>
              <w:t>i</w:t>
            </w:r>
            <w:r>
              <w:rPr>
                <w:rFonts w:ascii="Calibri" w:hAnsi="Calibri"/>
                <w:b w:val="0"/>
                <w:i w:val="0"/>
                <w:color w:val="1A365D"/>
                <w:sz w:val="24"/>
              </w:rPr>
              <w:t xml:space="preserve"> )</w:t>
            </w:r>
            <w:r>
              <w:rPr>
                <w:rFonts w:ascii="Calibri" w:hAnsi="Calibri"/>
                <w:b w:val="0"/>
                <w:i w:val="0"/>
                <w:color w:val="1A365D"/>
                <w:sz w:val="24"/>
                <w:vertAlign w:val="superscript"/>
              </w:rPr>
              <w:t>2</w:t>
            </w:r>
            <w:r>
              <w:rPr>
                <w:rFonts w:ascii="Calibri" w:hAnsi="Calibri"/>
                <w:b w:val="0"/>
                <w:i w:val="0"/>
                <w:color w:val="1A365D"/>
                <w:sz w:val="24"/>
              </w:rPr>
              <w:t xml:space="preserve"> ] / [ ∑</w:t>
            </w:r>
            <w:r>
              <w:rPr>
                <w:rFonts w:ascii="Calibri" w:hAnsi="Calibri"/>
                <w:b w:val="0"/>
                <w:i/>
                <w:color w:val="1A365D"/>
                <w:sz w:val="24"/>
                <w:vertAlign w:val="subscript"/>
              </w:rPr>
              <w:t>i</w:t>
            </w:r>
            <w:r>
              <w:rPr>
                <w:rFonts w:ascii="Calibri" w:hAnsi="Calibri"/>
                <w:b w:val="0"/>
                <w:i w:val="0"/>
                <w:color w:val="1A365D"/>
                <w:sz w:val="24"/>
              </w:rPr>
              <w:t xml:space="preserve"> ( y</w:t>
            </w:r>
            <w:r>
              <w:rPr>
                <w:rFonts w:ascii="Calibri" w:hAnsi="Calibri"/>
                <w:b w:val="0"/>
                <w:i/>
                <w:color w:val="1A365D"/>
                <w:sz w:val="24"/>
                <w:vertAlign w:val="subscript"/>
              </w:rPr>
              <w:t>i</w:t>
            </w:r>
            <w:r>
              <w:rPr>
                <w:rFonts w:ascii="Calibri" w:hAnsi="Calibri"/>
                <w:b w:val="0"/>
                <w:i w:val="0"/>
                <w:color w:val="1A365D"/>
                <w:sz w:val="24"/>
              </w:rPr>
              <w:t xml:space="preserve"> - ȳ )</w:t>
            </w:r>
            <w:r>
              <w:rPr>
                <w:rFonts w:ascii="Calibri" w:hAnsi="Calibri"/>
                <w:b w:val="0"/>
                <w:i w:val="0"/>
                <w:color w:val="1A365D"/>
                <w:sz w:val="24"/>
                <w:vertAlign w:val="superscript"/>
              </w:rPr>
              <w:t>2</w:t>
            </w:r>
            <w:r>
              <w:rPr>
                <w:rFonts w:ascii="Calibri" w:hAnsi="Calibri"/>
                <w:b w:val="0"/>
                <w:i w:val="0"/>
                <w:color w:val="1A365D"/>
                <w:sz w:val="24"/>
              </w:rPr>
              <w:t xml:space="preserve"> ]</w:t>
            </w:r>
          </w:p>
        </w:tc>
      </w:tr>
    </w:tbl>
    <w:p>
      <w:pPr>
        <w:spacing w:before="0" w:after="120"/>
      </w:pPr>
    </w:p>
    <w:p>
      <w:pPr>
        <w:keepNext/>
        <w:spacing w:before="280" w:after="80"/>
      </w:pPr>
      <w:r>
        <w:rPr>
          <w:rFonts w:ascii="Calibri" w:hAnsi="Calibri"/>
          <w:b/>
          <w:color w:val="2B6CB0"/>
          <w:sz w:val="28"/>
        </w:rPr>
        <w:t>3.2 Evaluation Schemes &amp; Windows</w:t>
      </w:r>
    </w:p>
    <w:p>
      <w:pPr>
        <w:spacing w:before="0" w:after="120" w:line="276" w:lineRule="auto"/>
      </w:pPr>
      <w:r>
        <w:t>To ensure robust scientific evaluation, metrics are extracted across two key operational windows and training regimes:</w:t>
      </w:r>
    </w:p>
    <w:p>
      <w:pPr>
        <w:spacing w:before="0" w:after="120" w:line="276" w:lineRule="auto"/>
      </w:pPr>
      <w:r>
        <w:rPr>
          <w:b/>
          <w:color w:val="2D3748"/>
        </w:rPr>
        <w:t xml:space="preserve">• FWHM Window (Full Width at Half Maximum): </w:t>
      </w:r>
      <w:r>
        <w:t>Isolates the resonant peak region to measure frequency tuning accuracy and damping fidelity where acoustic output is highest.</w:t>
      </w:r>
    </w:p>
    <w:p>
      <w:pPr>
        <w:spacing w:before="0" w:after="120" w:line="276" w:lineRule="auto"/>
      </w:pPr>
      <w:r>
        <w:rPr>
          <w:b/>
          <w:color w:val="2D3748"/>
        </w:rPr>
        <w:t xml:space="preserve">• Full Spectrum Window: </w:t>
      </w:r>
      <w:r>
        <w:t>Evaluates entire spectrum prediction including baseline roll-off and anti-resonance behavior.</w:t>
      </w:r>
    </w:p>
    <w:p>
      <w:pPr>
        <w:spacing w:before="0" w:after="120" w:line="276" w:lineRule="auto"/>
      </w:pPr>
      <w:r>
        <w:rPr>
          <w:b/>
          <w:color w:val="2D3748"/>
        </w:rPr>
        <w:t xml:space="preserve">• Progressive Training Scheme: </w:t>
      </w:r>
      <w:r>
        <w:t>Measures generalization error as training data scales step-by-step from low-sample to full-sample regimes.</w:t>
      </w:r>
    </w:p>
    <w:p>
      <w:pPr>
        <w:spacing w:before="0" w:after="120" w:line="276" w:lineRule="auto"/>
      </w:pPr>
      <w:r>
        <w:rPr>
          <w:b/>
          <w:color w:val="2D3748"/>
        </w:rPr>
        <w:t xml:space="preserve">• Regime-Aware Training Scheme: </w:t>
      </w:r>
      <w:r>
        <w:t>Evaluates model transferability when predicting across distinct PMUT operating regimes and device arrays.</w:t>
      </w:r>
    </w:p>
    <w:p>
      <w:pPr>
        <w:keepNext/>
        <w:spacing w:before="280" w:after="80"/>
      </w:pPr>
      <w:r>
        <w:rPr>
          <w:rFonts w:ascii="Calibri" w:hAnsi="Calibri"/>
          <w:b/>
          <w:color w:val="2B6CB0"/>
          <w:sz w:val="28"/>
        </w:rPr>
        <w:t>3.3 Diagnostic Interpretation of Results &amp; Negative R²</w:t>
      </w:r>
    </w:p>
    <w:p>
      <w:pPr>
        <w:spacing w:before="0" w:after="120" w:line="276" w:lineRule="auto"/>
      </w:pPr>
      <w:r>
        <w:t>A key contribution of the project's evaluation logic is the diagnostic interpretation of negative R² values. In conventional regression, a negative R² indicates that the model performs worse than a naive predictor outputting the mean response. In this project, negative R² values are not discarded as simple noise; they serve as critical diagnostic tools to pinpoint:</w:t>
      </w:r>
    </w:p>
    <w:p>
      <w:pPr>
        <w:spacing w:before="0" w:after="120" w:line="276" w:lineRule="auto"/>
      </w:pPr>
      <w:r>
        <w:t>1. Limits of extrapolation in sparse-data regimes where black-box regressors overfit to local noise.</w:t>
        <w:br/>
        <w:t>2. Domain shifts across PMUT regimes where physical parameter drift breaks unconstrained predictions.</w:t>
        <w:br/>
        <w:t>3. Comparative resilience of physics-informed models (PINN, MDOF-PINN) which maintain physical plausibility and lower error floors compared to unconstrained models under strong distributional shifts.</w:t>
      </w:r>
    </w:p>
    <w:p>
      <w:pPr>
        <w:keepNext/>
        <w:spacing w:before="280" w:after="80"/>
      </w:pPr>
      <w:r>
        <w:rPr>
          <w:rFonts w:ascii="Calibri" w:hAnsi="Calibri"/>
          <w:b/>
          <w:color w:val="2B6CB0"/>
          <w:sz w:val="28"/>
        </w:rPr>
        <w:t>3.3 Project Output Artifacts &amp; Reports</w:t>
      </w:r>
    </w:p>
    <w:p>
      <w:pPr>
        <w:spacing w:before="0" w:after="120" w:line="276" w:lineRule="auto"/>
      </w:pPr>
      <w:r>
        <w:t>The outputs generated by the benchmarking workflow are organized into structured metrics CSVs and interactive HTML comparison dashboards:</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100" w:type="dxa"/>
              <w:bottom w:w="100" w:type="dxa"/>
              <w:left w:w="120" w:type="dxa"/>
              <w:right w:w="120" w:type="dxa"/>
            </w:tcMar>
          </w:tcPr>
          <w:p>
            <w:pPr>
              <w:jc w:val="left"/>
            </w:pPr>
            <w:r>
              <w:rPr>
                <w:b/>
                <w:color w:val="FFFFFF"/>
                <w:sz w:val="20"/>
              </w:rPr>
              <w:t>Output Artifact Path</w:t>
            </w:r>
          </w:p>
        </w:tc>
        <w:tc>
          <w:tcPr>
            <w:tcW w:type="dxa" w:w="3120"/>
            <w:shd w:fill="1A365D"/>
            <w:tcMar>
              <w:top w:w="100" w:type="dxa"/>
              <w:bottom w:w="100" w:type="dxa"/>
              <w:left w:w="120" w:type="dxa"/>
              <w:right w:w="120" w:type="dxa"/>
            </w:tcMar>
          </w:tcPr>
          <w:p>
            <w:pPr>
              <w:jc w:val="left"/>
            </w:pPr>
            <w:r>
              <w:rPr>
                <w:b/>
                <w:color w:val="FFFFFF"/>
                <w:sz w:val="20"/>
              </w:rPr>
              <w:t>Artifact Category</w:t>
            </w:r>
          </w:p>
        </w:tc>
        <w:tc>
          <w:tcPr>
            <w:tcW w:type="dxa" w:w="3120"/>
            <w:shd w:fill="1A365D"/>
            <w:tcMar>
              <w:top w:w="100" w:type="dxa"/>
              <w:bottom w:w="100" w:type="dxa"/>
              <w:left w:w="120" w:type="dxa"/>
              <w:right w:w="120" w:type="dxa"/>
            </w:tcMar>
          </w:tcPr>
          <w:p>
            <w:pPr>
              <w:jc w:val="left"/>
            </w:pPr>
            <w:r>
              <w:rPr>
                <w:b/>
                <w:color w:val="FFFFFF"/>
                <w:sz w:val="20"/>
              </w:rPr>
              <w:t>Analytical Purpose &amp; Scope</w:t>
            </w:r>
          </w:p>
        </w:tc>
      </w:tr>
      <w:tr>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7"/>
              </w:rPr>
              <w:t>Outputs/04_metrics/progressive_metrics.csv</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Metrics Data</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Progressive training performance metrics across training sample steps</w:t>
            </w:r>
          </w:p>
        </w:tc>
      </w:tr>
      <w:tr>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7"/>
              </w:rPr>
              <w:t>Outputs/04_metrics/regime_metrics.csv</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Metrics Data</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Cross-regime evaluation metrics for device transferability</w:t>
            </w:r>
          </w:p>
        </w:tc>
      </w:tr>
      <w:tr>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7"/>
              </w:rPr>
              <w:t>Outputs/06_progressive/all_combined.html</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HTML Dashboard</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Interactive comparative progressive performance visualizer</w:t>
            </w:r>
          </w:p>
        </w:tc>
      </w:tr>
      <w:tr>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7"/>
              </w:rPr>
              <w:t>Outputs/07_regime/all_combined.html</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HTML Dashboard</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Interactive regime-aware transferability visualizer</w:t>
            </w:r>
          </w:p>
        </w:tc>
      </w:tr>
      <w:tr>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7"/>
              </w:rPr>
              <w:t>Outputs/bvd_parameters_comparison.html</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HTML Comparison</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Extracted BVD equivalent circuit parameters across PMUT array</w:t>
            </w:r>
          </w:p>
        </w:tc>
      </w:tr>
      <w:tr>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7"/>
              </w:rPr>
              <w:t>Outputs/mdof_parameters_comparison.html</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HTML Comparison</w:t>
            </w:r>
          </w:p>
        </w:tc>
        <w:tc>
          <w:tcPr>
            <w:tcW w:type="dxa" w:w="312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Modal parameters (f0, Q, A) extracted via MDOF mechanical model</w:t>
            </w:r>
          </w:p>
        </w:tc>
      </w:tr>
      <w:tr>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rFonts w:ascii="Consolas" w:hAnsi="Consolas"/>
                <w:color w:val="2D3748"/>
                <w:sz w:val="17"/>
              </w:rPr>
              <w:t>Outputs/pinn_physics_comparison.html</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HTML Comparison</w:t>
            </w:r>
          </w:p>
        </w:tc>
        <w:tc>
          <w:tcPr>
            <w:tcW w:type="dxa" w:w="312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9"/>
              </w:rPr>
              <w:t>Physics parameter trends (k, c, m, Q) extracted by PINN architectures</w:t>
            </w:r>
          </w:p>
        </w:tc>
      </w:tr>
    </w:tbl>
    <w:p>
      <w:pPr>
        <w:spacing w:after="200"/>
      </w:pPr>
    </w:p>
    <w:p>
      <w:pPr>
        <w:keepNext/>
        <w:spacing w:before="360" w:after="120"/>
      </w:pPr>
      <w:r>
        <w:rPr>
          <w:rFonts w:ascii="Calibri" w:hAnsi="Calibri"/>
          <w:b/>
          <w:color w:val="1A365D"/>
          <w:sz w:val="36"/>
        </w:rPr>
        <w:t>4. Master Model Comparison &amp; Overall Conclusion</w:t>
      </w:r>
    </w:p>
    <w:p>
      <w:pPr>
        <w:spacing w:before="0" w:after="120" w:line="276" w:lineRule="auto"/>
      </w:pPr>
      <w:r>
        <w:t>The introduction of PINN, MDOF-PINN, PINN-Informed-Loss, RF-MDOF-PINN Ensemble, BVD, and MDOF Mechanical models represents a fundamental methodological advancement over baseline regressors. The table below summarizes the comparative advantages of all added models: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00" w:type="dxa"/>
              <w:bottom w:w="100" w:type="dxa"/>
              <w:left w:w="120" w:type="dxa"/>
              <w:right w:w="120" w:type="dxa"/>
            </w:tcMar>
          </w:tcPr>
          <w:p>
            <w:r>
              <w:rPr>
                <w:b/>
                <w:color w:val="FFFFFF"/>
                <w:sz w:val="19"/>
              </w:rPr>
              <w:t>Model Architecture</w:t>
            </w:r>
          </w:p>
        </w:tc>
        <w:tc>
          <w:tcPr>
            <w:tcW w:type="dxa" w:w="2340"/>
            <w:shd w:fill="1A365D"/>
            <w:tcMar>
              <w:top w:w="100" w:type="dxa"/>
              <w:bottom w:w="100" w:type="dxa"/>
              <w:left w:w="120" w:type="dxa"/>
              <w:right w:w="120" w:type="dxa"/>
            </w:tcMar>
          </w:tcPr>
          <w:p>
            <w:r>
              <w:rPr>
                <w:b/>
                <w:color w:val="FFFFFF"/>
                <w:sz w:val="19"/>
              </w:rPr>
              <w:t>Physics Integration</w:t>
            </w:r>
          </w:p>
        </w:tc>
        <w:tc>
          <w:tcPr>
            <w:tcW w:type="dxa" w:w="2340"/>
            <w:shd w:fill="1A365D"/>
            <w:tcMar>
              <w:top w:w="100" w:type="dxa"/>
              <w:bottom w:w="100" w:type="dxa"/>
              <w:left w:w="120" w:type="dxa"/>
              <w:right w:w="120" w:type="dxa"/>
            </w:tcMar>
          </w:tcPr>
          <w:p>
            <w:r>
              <w:rPr>
                <w:b/>
                <w:color w:val="FFFFFF"/>
                <w:sz w:val="19"/>
              </w:rPr>
              <w:t>Multi-Mode Handling</w:t>
            </w:r>
          </w:p>
        </w:tc>
        <w:tc>
          <w:tcPr>
            <w:tcW w:type="dxa" w:w="2340"/>
            <w:shd w:fill="1A365D"/>
            <w:tcMar>
              <w:top w:w="100" w:type="dxa"/>
              <w:bottom w:w="100" w:type="dxa"/>
              <w:left w:w="120" w:type="dxa"/>
              <w:right w:w="120" w:type="dxa"/>
            </w:tcMar>
          </w:tcPr>
          <w:p>
            <w:r>
              <w:rPr>
                <w:b/>
                <w:color w:val="FFFFFF"/>
                <w:sz w:val="19"/>
              </w:rPr>
              <w:t>Primary Advantage</w:t>
            </w:r>
          </w:p>
        </w:tc>
      </w:tr>
      <w:tr>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b/>
                <w:color w:val="2D3748"/>
                <w:sz w:val="18"/>
              </w:rPr>
              <w:t>PINN</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Oscillator differential eq. embedded in architecture</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Single Mode</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Physical interpretability &amp; robust low-data generalization</w:t>
            </w:r>
          </w:p>
        </w:tc>
      </w:tr>
      <w:tr>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b/>
                <w:color w:val="2D3748"/>
                <w:sz w:val="18"/>
              </w:rPr>
              <w:t>MDOF-PINN</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Modal transfer superposition embedded in neural network</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Multi-Mode (K modes)</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Accurate spectral reconstruction of interacting modes</w:t>
            </w:r>
          </w:p>
        </w:tc>
      </w:tr>
      <w:tr>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b/>
                <w:color w:val="2D3748"/>
                <w:sz w:val="18"/>
              </w:rPr>
              <w:t>PINN-Informed-Loss</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Regularized loss with physics &amp; spatial smoothness</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Flexible</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Prevents parameter drift and nonphysical parameter estimation</w:t>
            </w:r>
          </w:p>
        </w:tc>
      </w:tr>
      <w:tr>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b/>
                <w:color w:val="2D3748"/>
                <w:sz w:val="18"/>
              </w:rPr>
              <w:t>RF-MDOF-PINN Ensemble</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Hybrid backbone + empirical residual forest</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Multi-Mode + Residual</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Combines physical structure with data-driven error correction</w:t>
            </w:r>
          </w:p>
        </w:tc>
      </w:tr>
      <w:tr>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b/>
                <w:color w:val="2D3748"/>
                <w:sz w:val="18"/>
              </w:rPr>
              <w:t>BVD Circuit Model</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Equivalent electromechanical circuit parameters</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Single/Coupled Circuit</w:t>
            </w:r>
          </w:p>
        </w:tc>
        <w:tc>
          <w:tcPr>
            <w:tcW w:type="dxa" w:w="2340"/>
            <w:shd w:fill="FFFFFF"/>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Standard electrical engineering benchmark (R, L, C fitting)</w:t>
            </w:r>
          </w:p>
        </w:tc>
      </w:tr>
      <w:tr>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b/>
                <w:color w:val="2D3748"/>
                <w:sz w:val="18"/>
              </w:rPr>
              <w:t>MDOF Mechanical Model</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Analytical mechanical mode superposition</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Multi-Mode Mechanical</w:t>
            </w:r>
          </w:p>
        </w:tc>
        <w:tc>
          <w:tcPr>
            <w:tcW w:type="dxa" w:w="2340"/>
            <w:shd w:fill="F8FAFC"/>
            <w:tcBorders>
              <w:left w:val="single" w:sz="6" w:space="0" w:color="CBD5E0"/>
              <w:top w:val="single" w:sz="6" w:space="0" w:color="CBD5E0"/>
              <w:right w:val="single" w:sz="6" w:space="0" w:color="CBD5E0"/>
              <w:bottom w:val="single" w:sz="6" w:space="0" w:color="CBD5E0"/>
            </w:tcBorders>
            <w:tcMar>
              <w:top w:w="80" w:type="dxa"/>
              <w:bottom w:w="80" w:type="dxa"/>
              <w:left w:w="120" w:type="dxa"/>
              <w:right w:w="120" w:type="dxa"/>
            </w:tcMar>
          </w:tcPr>
          <w:p>
            <w:r>
              <w:rPr>
                <w:color w:val="2D3748"/>
                <w:sz w:val="18"/>
              </w:rPr>
              <w:t>Direct mechanical parameter extraction without neural training</w:t>
            </w:r>
          </w:p>
        </w:tc>
      </w:tr>
    </w:tbl>
    <w:p>
      <w:pPr>
        <w:spacing w:after="200"/>
      </w:pPr>
    </w:p>
    <w:p>
      <w:pPr>
        <w:keepNext/>
        <w:spacing w:before="280" w:after="80"/>
      </w:pPr>
      <w:r>
        <w:rPr>
          <w:rFonts w:ascii="Calibri" w:hAnsi="Calibri"/>
          <w:b/>
          <w:color w:val="2B6CB0"/>
          <w:sz w:val="28"/>
        </w:rPr>
        <w:t>4.1 Summary Conclusion</w:t>
      </w:r>
    </w:p>
    <w:p>
      <w:pPr>
        <w:spacing w:before="0" w:after="120" w:line="276" w:lineRule="auto"/>
      </w:pPr>
      <w:r>
        <w:t>The additional models are not redundant extensions of RF, GB, and MLP; they are a methodological shift toward physics-aware, interpretable, and multi-modal PMUT modeling. The combination of constrained neural models, equivalent-circuit fitting, and hybrid residual learning provides a richer and more scientifically grounded framework for PMUT characterization than classical black-box regressors alone.</w:t>
      </w:r>
    </w:p>
    <w:p>
      <w:pPr>
        <w:spacing w:before="0" w:after="120" w:line="276" w:lineRule="auto"/>
      </w:pPr>
      <w:r>
        <w:t>This set of models represents the main methodological advancement of the project beyond the initial baseline trio, and it is precisely this combination of physical modeling and data-driven learning that makes the framework suitable for publication-quality analysis in a PMUT modeling study.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Models Added Beyond RF, GB, and MLP  |  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PMUT Frequency Response Modeling | Extended Physics-Informed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