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d71eeea901435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Pr>
        <w:jc w:val="both"/>
      </w:pPr>
      <w:pgSz w:w="11906" w:h="16838"/>
      <w:pgMar w:top="1440" w:right="1140" w:bottom="1440" w:left="1140" w:header="708" w:footer="708" w:gutter="0"/>
      <w:cols w:space="708"/>
      <w:docGrid w:linePitch="360"/>
      <w:headerReference w:type="default" r:id="R1d06471416f44cb3"/>
      <w:headerReference w:type="even" r:id="R622cba81cdee49eb"/>
      <w:headerReference w:type="first" r:id="Rdcb2d360eaf74f99"/>
      <w:footerReference w:type="default" r:id="R378e31c75a27484f"/>
      <w:footerReference w:type="even" r:id="R421a2f48000e4dcc"/>
      <w:footerReference w:type="first" r:id="Rac11ea7e368b4d68"/>
    </w:sectPr>
    <w:sectPr/>
    <w:p>
      <w:pPr>
        <w:rPr>
          <w:rFonts/>
        </w:rPr>
        <w:jc w:val="center"/>
      </w:pPr>
      <w:r>
        <w:rPr>
          <w:rFonts w:ascii="Arial" w:hAnsi="Arial" w:cs="Arial"/>
          <w:b/>
          <w:sz w:val="28"/>
          <w:szCs w:val="28"/>
          <w:color w:val="000080"/>
          <w:u w:val="single"/>
        </w:rPr>
        <w:t>INFORME DE EVALUACIÓN DE LA OPERACIÓN DIARIA</w:t>
      </w:r>
    </w:p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6"/>
          <w:szCs w:val="26"/>
          <w:rFonts w:ascii="Arial" w:hAnsi="Arial" w:cs="Arial"/>
          <w:b/>
          <w:color w:val="000080"/>
          <w:u w:val="single"/>
        </w:rPr>
        <w:t>DOMINGO 20 DE AGOSTO DE 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4"/>
          <w:szCs w:val="24"/>
          <w:rFonts w:ascii="Arial" w:hAnsi="Arial" w:cs="Arial"/>
          <w:b/>
          <w:color w:val="FF0000"/>
        </w:rPr>
        <w:t xml:space="preserve">1.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TÉCNICA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 </w:t>
      </w:r>
      <w:r>
        <w:rPr>
          <w:sz w:val="22"/>
          <w:szCs w:val="22"/>
          <w:rFonts w:ascii="Arial" w:hAnsi="Arial" w:cs="Arial"/>
          <w:b/>
          <w:u w:val="single"/>
        </w:rPr>
        <w:t>DESPACHOS DEL COES SINAC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1.1.1.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TOTAL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de la demanda en el día: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sz w:val="22"/>
          <w:szCs w:val="22"/>
          <w:rFonts w:ascii="Arial" w:hAnsi="Arial" w:cs="Arial"/>
          <w:b w:ascii="Arial" w:hAnsi="Arial" w:cs="Arial"/>
        </w:rPr>
        <w:t xml:space="preserve">Programa: </w:t>
      </w:r>
      <w:r>
        <w:rPr>
          <w:rFonts w:ascii="Arial" w:hAnsi="Arial" w:cs="Arial"/>
        </w:rPr>
        <w:t>Emitido a las 15:58 h. del día 02.01.2023</w:t>
      </w:r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Reprogramas: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datos.</w:t>
      </w:r>
      <w:r>
        <w:br/>
      </w:r>
      <w:r>
        <w:rPr>
          <w:rFonts w:ascii="Arial" w:hAnsi="Arial" w:cs="Arial"/>
        </w:rPr>
        <w:t xml:space="preserve"> </w:t>
      </w:r>
      <w:r>
        <w:br/>
      </w:r>
    </w:p>
    <w:p>
      <w:pPr/>
      <w:r>
        <w:br/>
      </w:r>
      <w:r>
        <w:br/>
      </w:r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El factor de carga del SEIN obtenido del diagrama ejecutado fue 0.92, siendo este valor 0.48% menor que el martes de la semana pasada.</w:t>
      </w:r>
    </w:p>
    <w:p>
      <w:pPr/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La velocidad de crecimiento de la carga al entrar a la hora punta dentro del periodo de 18:30 a 19:00 h aproximadamente, fue 7.68 MW/min, siendo este valor 26.35% menor que el día de ayer y 23.59% menor que el martes de la semana pasada.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000" w:type="dxa"/>
            <w:shd w:val="clear" w:color="auto" w:fill="DDDDDD"/>
            <w:vAlign w:val="center"/>
          </w:tcPr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SEIN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NORTE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SUR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CENTRO</w:t>
            </w:r>
          </w:p>
        </w:tc>
      </w:tr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Pendiente (MW/min)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10.50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</w:tr>
      <w:tr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Hora de Toma de Carga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2"/>
        </w:numPr>
        <w:jc w:val="both"/>
      </w:pPr>
      <w:r>
        <w:rPr>
          <w:rFonts w:ascii="Arial" w:hAnsi="Arial" w:cs="Arial"/>
          <w:sz w:val="22"/>
          <w:szCs w:val="22"/>
        </w:rPr>
        <w:t>La mínima demanda del SEIN fue 5917 MW y ocurrió a las 03:00 h, mientras que la mayor demanda de la mañana alcanzó un valor de 7280 MW a las 15:30 h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1.1.2.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POR ÁREA</w:t>
      </w:r>
      <w:r>
        <w:br/>
      </w:r>
      <w:r>
        <w:rPr>
          <w:rFonts w:ascii="Arial" w:hAnsi="Arial" w:cs="Arial"/>
        </w:rPr>
        <w:t xml:space="preserve"> </w:t>
      </w:r>
    </w:p>
    <w:p>
      <w:pPr/>
      <w:r>
        <w:br/>
      </w:r>
    </w:p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máxima demanda del SEIN se presentó a las 15:30 h., mientras que las máximas demandas de las áreas Norte, Centro y Sur ocurrieron a las 19:30 h, 15:00 h y 20:30 h, respectivamente.</w:t>
      </w:r>
    </w:p>
    <w:p>
      <w:pPr/>
      <w:r>
        <w:br/>
      </w:r>
    </w:p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contribución del área Centro a la máxima demanda del SEIN fue 60.4 %, mientras que las áreas Norte y Sur contribuyeron con 15.9 % y 23.6 % respectivamente.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Los factores de carga fueron: Área Norte: 0.853, Área Centro: 0.891, Área Sur: 0.94.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La velocidad de crecimiento de carga de las áreas Centro, Norte y Sur fueron 3.6, 3.25 y 0.84 MW/min respectivamente.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1.1.3.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LAS CARGAS MAS IMPORTANTES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1.1.4. </w:t>
      </w:r>
      <w:r>
        <w:rPr>
          <w:sz w:val="22"/>
          <w:szCs w:val="22"/>
          <w:rFonts w:ascii="Arial" w:hAnsi="Arial" w:cs="Arial"/>
          <w:b/>
          <w:u w:val="single"/>
        </w:rPr>
        <w:t>RECURSOS ENERGÉTICOS Y DIAGRAMA DE DURACIÓN DE CARGA</w:t>
      </w: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el siguiente gráfico:</w:t>
      </w:r>
      <w:r>
        <w:br/>
      </w:r>
      <w:r>
        <w:br/>
      </w:r>
      <w:r>
        <w:rPr>
          <w:rFonts w:ascii="Arial" w:hAnsi="Arial" w:cs="Arial"/>
        </w:rPr>
        <w:t>Del diagrama se observa que:</w:t>
      </w:r>
      <w:r>
        <w:br/>
      </w:r>
    </w:p>
    <w:p>
      <w:pPr/>
      <w:r>
        <w:br/>
      </w:r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total producida(Incluye exportación a Ecuador) fue 160352.67 MWh.</w:t>
      </w:r>
    </w:p>
    <w:p>
      <w:pPr/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proporcionada por las centrales de pasada y regulación fueron 27742.91 MWh y 75016.53 MWh respectivamente.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La energía térmica de tipo diesel fue de 0 MWh(0 %).La energía generada con residual fue de 105.55 MWh(0.1 %).La energía generada con gas fue de 49391.85 MWh(30.8 %), con carbón fue de 0 MWh(0 %), bagazo y biogás fueron de 831.93 MWh(0.5 %), la energía eólica fue de 4749.65 MWh(3 %) y la energía generada por las centrales solares fueron de 2514.25 MWh(1.6 %).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19.5 horas la demanda fue mayor al 85 % de la máxima demanda(81.25 % del tiempo total).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4.5 horas la demanda estuvo entre el 70 y 85 % de la máxima demanda(18.75 % del tiempo total).</w:t>
      </w:r>
    </w:p>
    <w:p>
      <w:pPr/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1.2. </w:t>
      </w:r>
      <w:r>
        <w:rPr>
          <w:sz w:val="22"/>
          <w:szCs w:val="22"/>
          <w:rFonts w:ascii="Arial" w:hAnsi="Arial" w:cs="Arial"/>
          <w:b/>
          <w:u w:val="single"/>
        </w:rPr>
        <w:t>EVOLUCIÓN DIARIA DE LA PRODUCCIÓN DE ENERGÍA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el siguiente gráfico: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energía ejecutada fue 160312.21 MWh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energía ejecutada fue 3622.35 MWh(2.21 %) menor que la programada y 2819.51 MWh(1.73 %) menor que la producida el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producción de energía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1.3. </w:t>
      </w:r>
      <w:r>
        <w:rPr>
          <w:sz w:val="22"/>
          <w:szCs w:val="22"/>
          <w:rFonts w:ascii="Arial" w:hAnsi="Arial" w:cs="Arial"/>
          <w:b/>
          <w:u w:val="single"/>
        </w:rPr>
        <w:t>MÁXIMA GENERACIÓN INSTANTÁNEA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DÍA</w:t>
            </w: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EJECUTADO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PROGRAMADO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DESVIACIÓN </w:t>
            </w:r>
            <w:r>
              <w:rPr>
                <w:b/>
                <w:rFonts w:ascii="Arial" w:hAnsi="Arial" w:cs="Arial"/>
              </w:rPr>
              <w:br/>
            </w:r>
            <w:r>
              <w:rPr>
                <w:b/>
                <w:rFonts w:ascii="Arial" w:hAnsi="Arial" w:cs="Arial"/>
              </w:rPr>
              <w:t>(%)</w:t>
            </w:r>
          </w:p>
        </w:tc>
      </w:tr>
      <w:tr>
        <w:tc>
          <w:tcPr>
            <w:tcW w:w="2310" w:type="auto"/>
            <w:vMerge/>
          </w:tcPr>
          <w:p>
            <w:pPr>
              <w:rPr>
                <w:rFonts/>
              </w:rPr>
            </w:pP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</w:tcPr>
          <w:p>
            <w:pPr>
              <w:rPr>
                <w:rFonts/>
              </w:rPr>
            </w:pPr>
          </w:p>
        </w:tc>
      </w:tr>
      <w:tr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MAR 27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7351.2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11:30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7511.9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-2.19</w:t>
            </w:r>
          </w:p>
        </w:tc>
      </w:tr>
      <w:tr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LUN 2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7072.9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20:30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7363.8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19:30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-4.11</w:t>
            </w:r>
          </w:p>
        </w:tc>
      </w:tr>
      <w:tr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MAR 3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7261.1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15:30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7344.8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310" w:type="auto"/>
          </w:tcPr>
          <w:p>
            <w:pPr/>
            <w:r>
              <w:rPr>
                <w:rFonts w:ascii="Arial" w:hAnsi="Arial" w:cs="Arial"/>
              </w:rPr>
              <w:t>-1.15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máxima generación instantánea fue 7261.1 MW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del SEIN disminuyó 90.11 MW(1.23 %) respecto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es a nivel de generación, y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1.4. </w:t>
      </w:r>
      <w:r>
        <w:rPr>
          <w:sz w:val="22"/>
          <w:szCs w:val="22"/>
          <w:rFonts w:ascii="Arial" w:hAnsi="Arial" w:cs="Arial"/>
          <w:b/>
          <w:u w:val="single"/>
        </w:rPr>
        <w:t>PRINCIPALES EVENTOS(FALLAS, INTERRUPCIONES Y RACIONAMIENTO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describen los siguientes eventos: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1.5. </w:t>
      </w:r>
      <w:r>
        <w:rPr>
          <w:sz w:val="22"/>
          <w:szCs w:val="22"/>
          <w:rFonts w:ascii="Arial" w:hAnsi="Arial" w:cs="Arial"/>
          <w:b/>
          <w:u w:val="single"/>
        </w:rPr>
        <w:t>MANTENIMIENTOS PROGRAMADOS Y EJECUTADOS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cuadro se resumen las principales desviaciones al programa diario de mantenimiento: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MC: Mantenimiento correctivo MP: Mantenimiento preventivo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 </w:t>
      </w:r>
      <w:r>
        <w:rPr>
          <w:sz w:val="22"/>
          <w:szCs w:val="22"/>
          <w:rFonts w:ascii="Arial" w:hAnsi="Arial" w:cs="Arial"/>
          <w:b/>
          <w:u w:val="single"/>
        </w:rPr>
        <w:t>OPERACIÓN DE EQUIPOS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1.6.1. </w:t>
      </w:r>
      <w:r>
        <w:rPr>
          <w:sz w:val="22"/>
          <w:szCs w:val="22"/>
          <w:rFonts w:ascii="Arial" w:hAnsi="Arial" w:cs="Arial"/>
          <w:b/>
          <w:u w:val="single"/>
        </w:rPr>
        <w:t>OPERACIÓN DE CALDEROS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información.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1.6.2. </w:t>
      </w:r>
      <w:r>
        <w:rPr>
          <w:sz w:val="22"/>
          <w:szCs w:val="22"/>
          <w:rFonts w:ascii="Arial" w:hAnsi="Arial" w:cs="Arial"/>
          <w:b/>
          <w:u w:val="single"/>
        </w:rPr>
        <w:t>OPERACIÓN A CARGA MÍNIMA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unidades generadoras que operaron a carga mínima fueron: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1.7. </w:t>
      </w:r>
      <w:r>
        <w:rPr>
          <w:sz w:val="22"/>
          <w:szCs w:val="22"/>
          <w:rFonts w:ascii="Arial" w:hAnsi="Arial" w:cs="Arial"/>
          <w:b/>
          <w:u w:val="single"/>
        </w:rPr>
        <w:t>RESERVA NO SINCRONIZADA DEL COES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gráfico se muestra la evolución horaria de la reserva no sincronizada de las unidades térmicas del SEIN(reserva fría).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En el cálculo de la Reserva fría no están incluidas las unidades térmicas con un tiempo de sincronización mayor a 6 horas.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Corresponde a las unidades de Generación no despachadas pero disponibles con combustible Gas Natural y Carbón.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1.8. </w:t>
      </w:r>
      <w:r>
        <w:rPr>
          <w:sz w:val="22"/>
          <w:szCs w:val="22"/>
          <w:rFonts w:ascii="Arial" w:hAnsi="Arial" w:cs="Arial"/>
          <w:b/>
          <w:u w:val="single"/>
        </w:rPr>
        <w:t>REGULACION DE TENSIÓN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líneas de transmisión que salieron de servicio por falta de equipos de compensación reactiva para regular tensión fueron: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1.9. </w:t>
      </w:r>
      <w:r>
        <w:rPr>
          <w:sz w:val="22"/>
          <w:szCs w:val="22"/>
          <w:rFonts w:ascii="Arial" w:hAnsi="Arial" w:cs="Arial"/>
          <w:b/>
          <w:u w:val="single"/>
        </w:rPr>
        <w:t>PRUEBAS DE UNIDADES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A. </w:t>
      </w:r>
      <w:r>
        <w:rPr>
          <w:sz w:val="22"/>
          <w:szCs w:val="22"/>
          <w:rFonts w:ascii="Arial" w:hAnsi="Arial" w:cs="Arial"/>
          <w:b/>
          <w:u w:val="single"/>
        </w:rPr>
        <w:t>ALEATORIAS DE DISPONIBILIDAD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realizaron las siguientes pruebas: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B. </w:t>
      </w:r>
      <w:r>
        <w:rPr>
          <w:sz w:val="22"/>
          <w:szCs w:val="22"/>
          <w:rFonts w:ascii="Arial" w:hAnsi="Arial" w:cs="Arial"/>
          <w:b/>
          <w:u w:val="single"/>
        </w:rPr>
        <w:t>POR REQUERIMIENTOS PROPIOS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C. </w:t>
      </w:r>
      <w:r>
        <w:rPr>
          <w:sz w:val="22"/>
          <w:szCs w:val="22"/>
          <w:rFonts w:ascii="Arial" w:hAnsi="Arial" w:cs="Arial"/>
          <w:b/>
          <w:u w:val="single"/>
        </w:rPr>
        <w:t>A SOLICITUD DE TERCEROS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1.10. </w:t>
      </w:r>
      <w:r>
        <w:rPr>
          <w:sz w:val="22"/>
          <w:szCs w:val="22"/>
          <w:rFonts w:ascii="Arial" w:hAnsi="Arial" w:cs="Arial"/>
          <w:b/>
          <w:u w:val="single"/>
        </w:rPr>
        <w:t>SISTEMAS AISLADOS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sistemas aislados.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1.11. </w:t>
      </w:r>
      <w:r>
        <w:rPr>
          <w:sz w:val="22"/>
          <w:szCs w:val="22"/>
          <w:rFonts w:ascii="Arial" w:hAnsi="Arial" w:cs="Arial"/>
          <w:b/>
          <w:u w:val="single"/>
        </w:rPr>
        <w:t>CONGESTIÓN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Mediante Resolución Dirección Ejecutiva N°1277 - 2021 - D / COES se establecieron los límites de transmisión de potencia hacia el Área Operativa Sur, vigente desde el miércoles 01 de diciembre de 2021.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https://www.coes.org.pe/Portal/MarcoNormativo/DecisionesEjecutivasNotasTecnicas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presenta el siguiente cuadro: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congestión.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1.12. </w:t>
      </w:r>
      <w:r>
        <w:rPr>
          <w:sz w:val="22"/>
          <w:szCs w:val="22"/>
          <w:rFonts w:ascii="Arial" w:hAnsi="Arial" w:cs="Arial"/>
          <w:b/>
          <w:u w:val="single"/>
        </w:rPr>
        <w:t>CALIDAD DE PRODUCTO(FRECUENCIA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(*) Estos valores de frecuencia son calculados según lo dispuesto por la NTCSE para verificar la tolerancia de las variaciones súbitas(1 minuto).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(**) Estos valores de frecuencia son calculados según lo dispuesto por la NTCSE para verificar la tolerancia de las variaciones sostenidas(15 minutos).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1.13. </w:t>
      </w:r>
      <w:r>
        <w:rPr>
          <w:sz w:val="22"/>
          <w:szCs w:val="22"/>
          <w:rFonts w:ascii="Arial" w:hAnsi="Arial" w:cs="Arial"/>
          <w:b/>
          <w:u w:val="single"/>
        </w:rPr>
        <w:t>FLUJOS POR LAS INTERCONEXIONES(MW)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horaria de los flujos por las interconexiones.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1.14. </w:t>
      </w:r>
      <w:r>
        <w:rPr>
          <w:sz w:val="22"/>
          <w:szCs w:val="22"/>
          <w:rFonts w:ascii="Arial" w:hAnsi="Arial" w:cs="Arial"/>
          <w:b/>
          <w:u w:val="single"/>
        </w:rPr>
        <w:t>Interconexiones Internacionales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2.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ECONÓMICA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2.1. </w:t>
      </w:r>
      <w:r>
        <w:rPr>
          <w:sz w:val="22"/>
          <w:szCs w:val="22"/>
          <w:rFonts w:ascii="Arial" w:hAnsi="Arial" w:cs="Arial"/>
          <w:b/>
          <w:u w:val="single"/>
        </w:rPr>
        <w:t>COSTO TOTAL DE LA OPERACIÓN POR DÍA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El costo total de la operación ejecutado fue S /. 5160846 y resultó S /. 2941707(36.31 %) menor que el correspondiente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3.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OBSERVACIONES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3.1 Los datos utilizados en los numerales 1.1.1, 1.1.2, 1.1.3, 1.1.4, 1.2, 1.3, 1.8.3.B y 1.12 provienen de datos instantáneos del sistema SCADA de las Empresas.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3.2 El informe incluye los siguientes anexos: Generación ejecutada activa y reactiva, desviación del despacho de las centrales, información hidrológica, compromisos y transferencias por RPF, demandas por áreas operativas, stock y consumo de combustibles sólidos, líquidos y gaseosos.Además los reportes de Horas de operación de las unidades térmicas y de mantenimientos ejecutados.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4.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ANEXOS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1: Resumen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 RESUMEN - Resumen de generación de energía eléctrica por Empresas Integrantes del COES.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 G_AREAS - Generación por tipo de generación por áreas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1.3 GENERACION RER -Generación eléctrica de las centrales RER(MW).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1.4 COGENERACION - Centrales de Cogeneración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1.5 TIPO_RECURSO – Reporte de potencia generada por tipo de recurso.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1.6 DESPACHO_EJECUTADO - Potencia activa ejecutada de las unidades de generación del SEIN(MW).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1.7 PROGRAMADO - 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1.8 REPROGRAMADO - Reprogramación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1.9 DESVIACIÓN - Desviación del despacho de las centrales de generación COES(MW).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1.10 REACTIVA - Potencia reactiva ejecutada de las unidades de generación del COES(MVAR).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1.11 DEMANDA_UL - Potencia de los grandes Usuarios Libres(MW).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1.12 DEMANDA_AREAS - Reporte de la demanda por áreas y sub - áreas operativas(MW).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1.13 FLUJOS - Potencia activa líneas de transmisión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1.14 INTERCONEXIONES - Interconexión entre sistemas operativos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1.15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1.16 ENERGÍA_PRIMARIA – Reporte de fuente de Energía Primaria de las unidades RER.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1.17 CALOR_ÚTIL – Registro de Calor Útil.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1.18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1.19 CONSUMO_COMB - Reporte de consumo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1.20 PRESIÓN_GAS - Presiones de gas natural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1.21 TEMP_AMB - Temperatura Ambiente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1.22 DISPONIBILIDAD_GAS – Reporte de disponibilidad de Gas Natural.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1.23 TRANSGRESIONES – Reporte de GPS.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1.24 RESTRIC_OPE - Restricciones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2: Hidrología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2.1 Principales caudales de los principales afluentes y volúmenes de embalses y reservorios.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2.2 Vertimientos de Embalses.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2.3 Descarga de Lagunas.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3: Asignación de reserva Primaria y secundaria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4: Horas de operación de las unidades térmicas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5: Mantenimientos ejecutados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6: Costo Marginal de Corto Plazo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 xml:space="preserve"> Hora de emisión del informe: 12:00 h.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Fecha: 04.01.2023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Difusión: SGI, SEV, SPR, SME, SCO, SNP, SPL, DP, DO, CC - INTEGRANTES.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NOTA1: Las siglas utilizadas en el presente documento están de acuerdo a la 'Base Metodológica para la Aplicación de la Norma Técnica de Calidad de los Servicios Eléctricos'.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NOTA2: Para el cálculo de la demanda del COES, se considera solo la generación de los Integrantes del COES.</w:t>
      </w:r>
      <w:r>
        <w:br/>
      </w:r>
      <w:r>
        <w:rPr>
          <w:rFonts w:ascii="Arial" w:hAnsi="Arial" w:cs="Arial"/>
        </w:rPr>
        <w:t xml:space="preserve">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700" w:type="dxa"/>
          <w:vAlign w:val="center"/>
        </w:tcPr>
        <w:p>
          <w:pPr/>
          <w:r>
            <w:rPr>
              <w:rFonts w:ascii="Arial" w:hAnsi="Arial" w:cs="Arial"/>
              <w:b/>
              <w:sz w:val="16"/>
              <w:szCs w:val="16"/>
            </w:rPr>
            <w:t>SEMANA 34</w:t>
          </w:r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de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250" w:type="dxa"/>
          <w:vAlign w:val="top"/>
        </w:tcPr>
        <w:p>
          <w:pPr/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8"/>
              <w:szCs w:val="18"/>
            </w:rPr>
            <w:t>Subdirección de Gestión de la Información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IEOD N.°  232/2023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20/08/2023</w:t>
          </w:r>
          <w:r>
            <w:br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5be4084d11435b" /><Relationship Type="http://schemas.openxmlformats.org/officeDocument/2006/relationships/numbering" Target="/word/numbering.xml" Id="Red031754a27c483d" /><Relationship Type="http://schemas.openxmlformats.org/officeDocument/2006/relationships/settings" Target="/word/settings.xml" Id="Rbeaa4b29003d4d7d" /><Relationship Type="http://schemas.openxmlformats.org/officeDocument/2006/relationships/header" Target="/word/header1.xml" Id="R1d06471416f44cb3" /><Relationship Type="http://schemas.openxmlformats.org/officeDocument/2006/relationships/header" Target="/word/header2.xml" Id="R622cba81cdee49eb" /><Relationship Type="http://schemas.openxmlformats.org/officeDocument/2006/relationships/header" Target="/word/header3.xml" Id="Rdcb2d360eaf74f99" /><Relationship Type="http://schemas.openxmlformats.org/officeDocument/2006/relationships/footer" Target="/word/footer1.xml" Id="R378e31c75a27484f" /><Relationship Type="http://schemas.openxmlformats.org/officeDocument/2006/relationships/footer" Target="/word/footer2.xml" Id="R421a2f48000e4dcc" /><Relationship Type="http://schemas.openxmlformats.org/officeDocument/2006/relationships/footer" Target="/word/footer3.xml" Id="Rac11ea7e368b4d68" /></Relationships>
</file>