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8535bc5ca514c29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Pr>
        <w:jc w:val="both"/>
      </w:pPr>
      <w:pgSz w:w="11906" w:h="16838"/>
      <w:pgMar w:top="1440" w:right="1140" w:bottom="1440" w:left="1140" w:header="708" w:footer="708" w:gutter="0"/>
      <w:cols w:space="708"/>
      <w:docGrid w:linePitch="360"/>
      <w:headerReference w:type="default" r:id="R5c16cde0758745a5"/>
      <w:headerReference w:type="even" r:id="R7a8f9d95e5de4a05"/>
      <w:headerReference w:type="first" r:id="Rd8e0ee704cca43c1"/>
      <w:footerReference w:type="default" r:id="Rf0804a4afbba464b"/>
      <w:footerReference w:type="even" r:id="Rd329f85068c84c2f"/>
      <w:footerReference w:type="first" r:id="R64f8a5436dbd4599"/>
    </w:sectPr>
    <w:sectPr/>
    <w:p>
      <w:pPr>
        <w:rPr>
          <w:rFonts/>
        </w:rPr>
        <w:jc w:val="center"/>
      </w:pPr>
      <w:r>
        <w:rPr>
          <w:rFonts w:ascii="Arial" w:hAnsi="Arial" w:cs="Arial"/>
          <w:b/>
          <w:sz w:val="28"/>
          <w:szCs w:val="28"/>
          <w:color w:val="000080"/>
          <w:u w:val="single"/>
        </w:rPr>
        <w:t>INFORME DE EVALUACIÓN DE LA OPERACIÓN DIARIA</w:t>
      </w:r>
    </w:p>
    <w:p>
      <w:pPr>
        <w:rPr>
          <w:rFonts/>
        </w:rPr>
        <w:jc w:val="center"/>
      </w:pPr>
      <w:r>
        <w:rPr>
          <w:rFonts w:ascii="Arial" w:hAnsi="Arial" w:cs="Arial"/>
        </w:rPr>
        <w:br/>
      </w:r>
      <w:r>
        <w:rPr>
          <w:sz w:val="26"/>
          <w:szCs w:val="26"/>
          <w:rFonts w:ascii="Arial" w:hAnsi="Arial" w:cs="Arial"/>
          <w:b/>
          <w:color w:val="000080"/>
          <w:u w:val="single"/>
        </w:rPr>
        <w:t>JUEVES 1 DE JUNIO DE 2023</w:t>
      </w:r>
      <w:r>
        <w:br/>
      </w:r>
      <w:r>
        <w:rPr>
          <w:rFonts w:ascii="Arial" w:hAnsi="Arial" w:cs="Arial"/>
        </w:rPr>
        <w:t xml:space="preserve"> </w:t>
      </w:r>
    </w:p>
    <w:p>
      <w:pPr>
        <w:rPr>
          <w:rFonts/>
        </w:rPr>
      </w:pPr>
      <w:r>
        <w:rPr>
          <w:sz w:val="24"/>
          <w:szCs w:val="24"/>
          <w:rFonts w:ascii="Arial" w:hAnsi="Arial" w:cs="Arial"/>
          <w:b/>
          <w:color w:val="FF0000"/>
        </w:rPr>
        <w:t xml:space="preserve">1. </w:t>
      </w:r>
      <w:r>
        <w:rPr>
          <w:sz w:val="24"/>
          <w:szCs w:val="24"/>
          <w:rFonts w:ascii="Arial" w:hAnsi="Arial" w:cs="Arial"/>
          <w:b/>
          <w:color w:val="FF0000"/>
          <w:u w:val="single"/>
        </w:rPr>
        <w:t>EVALUACIÓN TÉCNICA</w:t>
      </w:r>
      <w:r>
        <w:br/>
      </w:r>
      <w:r>
        <w:rPr>
          <w:rFonts w:ascii="Arial" w:hAnsi="Arial" w:cs="Arial"/>
        </w:rPr>
        <w:t xml:space="preserve"> </w:t>
      </w:r>
    </w:p>
    <w:p>
      <w:pPr>
        <w:rPr>
          <w:rFonts/>
        </w:rPr>
      </w:pPr>
      <w:r>
        <w:rPr>
          <w:sz w:val="22"/>
          <w:szCs w:val="22"/>
          <w:rFonts w:ascii="Arial" w:hAnsi="Arial" w:cs="Arial"/>
          <w:b/>
        </w:rPr>
        <w:t xml:space="preserve">1.1. </w:t>
      </w:r>
      <w:r>
        <w:rPr>
          <w:sz w:val="22"/>
          <w:szCs w:val="22"/>
          <w:rFonts w:ascii="Arial" w:hAnsi="Arial" w:cs="Arial"/>
          <w:b/>
          <w:u w:val="single"/>
        </w:rPr>
        <w:t>DESPACHOS DEL COES SINAC</w:t>
      </w:r>
      <w:r>
        <w:br/>
      </w:r>
      <w:r>
        <w:rPr>
          <w:rFonts w:ascii="Arial" w:hAnsi="Arial" w:cs="Arial"/>
        </w:rPr>
        <w:t xml:space="preserve"> </w:t>
      </w:r>
    </w:p>
    <w:p>
      <w:pPr>
        <w:rPr>
          <w:rFonts/>
        </w:rPr>
      </w:pPr>
      <w:r>
        <w:rPr>
          <w:sz w:val="22"/>
          <w:szCs w:val="22"/>
          <w:rFonts w:ascii="Arial" w:hAnsi="Arial" w:cs="Arial"/>
          <w:b/>
        </w:rPr>
        <w:t xml:space="preserve">1.1.1. </w:t>
      </w:r>
      <w:r>
        <w:rPr>
          <w:sz w:val="22"/>
          <w:szCs w:val="22"/>
          <w:rFonts w:ascii="Arial" w:hAnsi="Arial" w:cs="Arial"/>
          <w:b/>
          <w:u w:val="single"/>
        </w:rPr>
        <w:t>EVOLUCIÓN HORARIA DE LA DEMANDA TOTAL</w:t>
      </w:r>
      <w:r>
        <w:br/>
      </w:r>
      <w:r>
        <w:rPr>
          <w:rFonts w:ascii="Arial" w:hAnsi="Arial" w:cs="Arial"/>
        </w:rPr>
        <w:t xml:space="preserve"> </w:t>
      </w:r>
    </w:p>
    <w:p>
      <w:pPr>
        <w:rPr>
          <w:rFonts/>
        </w:rPr>
      </w:pPr>
      <w:r>
        <w:rPr>
          <w:sz w:val="22"/>
          <w:szCs w:val="22"/>
          <w:rFonts w:ascii="Arial" w:hAnsi="Arial" w:cs="Arial"/>
        </w:rPr>
        <w:t>Se muestra la evolución de la demanda en el día:</w:t>
      </w:r>
      <w:r>
        <w:br/>
      </w:r>
      <w:r>
        <w:rPr>
          <w:rFonts w:ascii="Arial" w:hAnsi="Arial" w:cs="Arial"/>
        </w:rPr>
        <w:t xml:space="preserve"> </w:t>
      </w:r>
    </w:p>
    <w:tbl>
      <w:tblPr>
        <w:tblStyle w:val="TableGrid"/>
        <w:tblW w:w="5000" w:type="auto"/>
        <w:tblLook w:val="04A0"/>
        <w:jc w:val="center"/>
      </w:tblPr>
      <w:tblGrid>
        <w:gridCol w:w="2310"/>
      </w:tblGrid>
      <w:tr>
        <w:tc>
          <w:tcPr>
            <w:tcW w:w="2310" w:type="auto"/>
          </w:tcPr>
          <w:p>
            <w:pPr>
              <w:jc w:val="center"/>
            </w:pPr>
            <drawing xmlns="http://schemas.openxmlformats.org/wordprocessingml/2006/main">
              <wp:inline xmlns:wp="http://schemas.openxmlformats.org/drawingml/2006/wordprocessingDrawing" distT="0" distB="0" distL="0" distR="0">
                <wp:extent cx="5086350" cy="3390900"/>
                <wp:effectExtent l="0" t="0" r="0" b="0"/>
                <wp:docPr id="1" name="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xmlns:r="http://schemas.openxmlformats.org/officeDocument/2006/relationships" r:embed="Ra75f7a67917541f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86350" cy="33909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drawing>
          </w:p>
        </w:tc>
      </w:tr>
    </w:tbl>
    <w:p>
      <w:pPr>
        <w:rPr>
          <w:rFonts/>
        </w:rPr>
      </w:pPr>
      <w:r>
        <w:br/>
      </w:r>
      <w:r>
        <w:rPr>
          <w:rFonts w:ascii="Arial" w:hAnsi="Arial" w:cs="Arial"/>
        </w:rPr>
        <w:t xml:space="preserve"> </w:t>
      </w:r>
      <w:r>
        <w:rPr>
          <w:sz w:val="22"/>
          <w:szCs w:val="22"/>
          <w:rFonts w:ascii="Arial" w:hAnsi="Arial" w:cs="Arial"/>
          <w:b w:ascii="Arial" w:hAnsi="Arial" w:cs="Arial"/>
        </w:rPr>
        <w:t xml:space="preserve">Programa: </w:t>
      </w:r>
      <w:r>
        <w:rPr>
          <w:rFonts w:ascii="Arial" w:hAnsi="Arial" w:cs="Arial"/>
        </w:rPr>
        <w:t>Emitido a las 18:33 h. del día 31.05.2023</w:t>
      </w:r>
      <w:r>
        <w:br/>
      </w:r>
    </w:p>
    <w:p>
      <w:pPr>
        <w:rPr>
          <w:rFonts/>
        </w:rPr>
      </w:pPr>
      <w:r>
        <w:rPr>
          <w:sz w:val="22"/>
          <w:szCs w:val="22"/>
          <w:rFonts w:ascii="Arial" w:hAnsi="Arial" w:cs="Arial"/>
          <w:b/>
        </w:rPr>
        <w:t>Reprogramas:</w:t>
      </w:r>
      <w:r>
        <w:br/>
      </w:r>
      <w:r>
        <w:rPr>
          <w:rFonts w:ascii="Arial" w:hAnsi="Arial" w:cs="Arial"/>
        </w:rPr>
        <w:t xml:space="preserve"> </w:t>
      </w:r>
      <w:r>
        <w:br/>
      </w:r>
    </w:p>
    <w:tbl>
      <w:tblPr>
        <w:tblStyle w:val="TableGrid"/>
        <w:tblW w:w="5000" w:type="auto"/>
        <w:tblLook w:val="04A0"/>
      </w:tblPr>
      <w:tblGrid>
        <w:gridCol w:w="2310"/>
        <w:gridCol w:w="2310"/>
        <w:gridCol w:w="2310"/>
      </w:tblGrid>
      <w:tr>
        <w:tc>
          <w:tcPr>
            <w:tcW w:w="2310" w:type="auto"/>
            <w:shd w:val="clear" w:color="auto" w:fill="DDDDDD"/>
            <w:vAlign w:val="center"/>
          </w:tcPr>
          <w:p>
            <w:pPr>
              <w:jc w:val="center"/>
            </w:pPr>
            <w:r>
              <w:rPr>
                <w:b/>
                <w:rFonts w:ascii="Arial" w:hAnsi="Arial" w:cs="Arial"/>
              </w:rPr>
              <w:t>Hora</w:t>
            </w:r>
          </w:p>
        </w:tc>
        <w:tc>
          <w:tcPr>
            <w:tcW w:w="2310" w:type="auto"/>
            <w:shd w:val="clear" w:color="auto" w:fill="DDDDDD"/>
            <w:vAlign w:val="center"/>
          </w:tcPr>
          <w:p>
            <w:pPr>
              <w:jc w:val="center"/>
            </w:pPr>
            <w:r>
              <w:rPr>
                <w:b/>
                <w:rFonts w:ascii="Arial" w:hAnsi="Arial" w:cs="Arial"/>
              </w:rPr>
              <w:t>Reprograma</w:t>
            </w:r>
          </w:p>
        </w:tc>
        <w:tc>
          <w:tcPr>
            <w:tcW w:w="2310" w:type="auto"/>
            <w:shd w:val="clear" w:color="auto" w:fill="DDDDDD"/>
            <w:vAlign w:val="center"/>
          </w:tcPr>
          <w:p>
            <w:pPr>
              <w:jc w:val="center"/>
            </w:pPr>
            <w:r>
              <w:rPr>
                <w:b/>
                <w:rFonts w:ascii="Arial" w:hAnsi="Arial" w:cs="Arial"/>
              </w:rPr>
              <w:t>Motivo</w:t>
            </w: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rPr>
                <w:rFonts w:ascii="Arial" w:hAnsi="Arial" w:cs="Arial"/>
              </w:rPr>
              <w:t>00:00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rFonts w:ascii="Arial" w:hAnsi="Arial" w:cs="Arial"/>
              </w:rPr>
              <w:t>SCO - 152-A / Sem 22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rFonts w:ascii="Arial" w:hAnsi="Arial" w:cs="Arial"/>
              </w:rPr>
              <w:t>mayor disponibilidad de combustible adicional de la C.T.R.F. Ilo y menor disponibilidad hídrica en las CC.HH. Cheves y Platanal</w:t>
            </w: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rPr>
                <w:rFonts w:ascii="Arial" w:hAnsi="Arial" w:cs="Arial"/>
              </w:rPr>
              <w:t>00:00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rFonts w:ascii="Arial" w:hAnsi="Arial" w:cs="Arial"/>
              </w:rPr>
              <w:t>SCO - 152-B / Sem 22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rFonts w:ascii="Arial" w:hAnsi="Arial" w:cs="Arial"/>
              </w:rPr>
              <w:t>menor disponibilidad hídrica en las CCHH Chimay, Cheves y Chaglla</w:t>
            </w: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rPr>
                <w:rFonts w:ascii="Arial" w:hAnsi="Arial" w:cs="Arial"/>
              </w:rPr>
              <w:t>00:00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rFonts w:ascii="Arial" w:hAnsi="Arial" w:cs="Arial"/>
              </w:rPr>
              <w:t>SCO - 152-C / Sem 22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rFonts w:ascii="Arial" w:hAnsi="Arial" w:cs="Arial"/>
              </w:rPr>
              <w:t>actualización del perfil de pruebas de la CT Fenix</w:t>
            </w: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rPr>
                <w:rFonts w:ascii="Arial" w:hAnsi="Arial" w:cs="Arial"/>
              </w:rPr>
              <w:t>00:00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rFonts w:ascii="Arial" w:hAnsi="Arial" w:cs="Arial"/>
              </w:rPr>
              <w:t>SCO - 152-D / Sem 22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rFonts w:ascii="Arial" w:hAnsi="Arial" w:cs="Arial"/>
              </w:rPr>
              <w:t>variación del perfil de pruebas de la C.T. Fénix</w:t>
            </w: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rPr>
                <w:rFonts w:ascii="Arial" w:hAnsi="Arial" w:cs="Arial"/>
              </w:rPr>
              <w:t>00:00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rFonts w:ascii="Arial" w:hAnsi="Arial" w:cs="Arial"/>
              </w:rPr>
              <w:t>SCO - 152-E / Sem 22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rFonts w:ascii="Arial" w:hAnsi="Arial" w:cs="Arial"/>
              </w:rPr>
              <w:t>menor disponibilidad hídrica en la C.H. Yuncan</w:t>
            </w:r>
          </w:p>
        </w:tc>
      </w:tr>
    </w:tbl>
    <w:p>
      <w:pPr/>
      <w:r>
        <w:br/>
      </w:r>
      <w:r>
        <w:br/>
      </w:r>
    </w:p>
    <w:p>
      <w:pPr>
        <w:numPr>
          <w:ilvl w:val="0"/>
          <w:numId w:val="1"/>
        </w:numPr>
        <w:jc w:val="both"/>
      </w:pPr>
      <w:r>
        <w:rPr>
          <w:rFonts w:ascii="Arial" w:hAnsi="Arial" w:cs="Arial"/>
          <w:sz w:val="22"/>
          <w:szCs w:val="22"/>
        </w:rPr>
        <w:t>El factor de carga del SEIN obtenido del diagrama ejecutado fue 0.93, siendo este valor 0.32 % mayor que el martes de la semana pasada.</w:t>
      </w:r>
    </w:p>
    <w:p>
      <w:pPr/>
    </w:p>
    <w:p>
      <w:pPr>
        <w:numPr>
          <w:ilvl w:val="0"/>
          <w:numId w:val="1"/>
        </w:numPr>
        <w:jc w:val="both"/>
      </w:pPr>
      <w:r>
        <w:rPr>
          <w:rFonts w:ascii="Arial" w:hAnsi="Arial" w:cs="Arial"/>
          <w:sz w:val="22"/>
          <w:szCs w:val="22"/>
        </w:rPr>
        <w:t>La velocidad de crecimiento de la carga al entrar a la hora punta dentro del periodo de 18:30 a 19:00 h aproximadamente, fue 7.68 MW/min, siendo este valor 26.35% menor que el día de ayer y 23.59% menor que el martes de la semana pasada.</w:t>
      </w:r>
    </w:p>
    <w:p>
      <w:pPr/>
    </w:p>
    <w:tbl>
      <w:tblPr>
        <w:tblStyle w:val="TableGrid"/>
        <w:tblW w:w="5000" w:type="auto"/>
        <w:tblLook w:val="04A0"/>
        <w:jc w:val="center"/>
      </w:tblPr>
      <w:tblGrid>
        <w:gridCol w:w="2310"/>
        <w:gridCol w:w="2310"/>
        <w:gridCol w:w="2310"/>
        <w:gridCol w:w="2310"/>
        <w:gridCol w:w="2310"/>
      </w:tblGrid>
      <w:tr>
        <w:tc>
          <w:tcPr>
            <w:tcW w:w="6000" w:type="dxa"/>
            <w:shd w:val="clear" w:color="auto" w:fill="DDDDDD"/>
            <w:vAlign w:val="center"/>
          </w:tcPr>
          <w:p>
            <w:pPr>
              <w:rPr>
                <w:b/>
                <w:rFonts/>
              </w:rPr>
              <w:jc w:val="center"/>
            </w:pPr>
          </w:p>
        </w:tc>
        <w:tc>
          <w:tcPr>
            <w:tcW w:w="4500" w:type="dxa"/>
            <w:shd w:val="clear" w:color="auto" w:fill="DDDDDD"/>
            <w:vAlign w:val="center"/>
          </w:tcPr>
          <w:p>
            <w:pPr>
              <w:jc w:val="center"/>
            </w:pPr>
            <w:r>
              <w:rPr>
                <w:b/>
                <w:rFonts w:ascii="Arial" w:hAnsi="Arial" w:cs="Arial"/>
              </w:rPr>
              <w:t>SEIN</w:t>
            </w:r>
          </w:p>
        </w:tc>
        <w:tc>
          <w:tcPr>
            <w:tcW w:w="4500" w:type="dxa"/>
            <w:shd w:val="clear" w:color="auto" w:fill="DDDDDD"/>
            <w:vAlign w:val="center"/>
          </w:tcPr>
          <w:p>
            <w:pPr>
              <w:jc w:val="center"/>
            </w:pPr>
            <w:r>
              <w:rPr>
                <w:b/>
                <w:rFonts w:ascii="Arial" w:hAnsi="Arial" w:cs="Arial"/>
              </w:rPr>
              <w:t>NORTE</w:t>
            </w:r>
          </w:p>
        </w:tc>
        <w:tc>
          <w:tcPr>
            <w:tcW w:w="4500" w:type="dxa"/>
            <w:shd w:val="clear" w:color="auto" w:fill="DDDDDD"/>
            <w:vAlign w:val="center"/>
          </w:tcPr>
          <w:p>
            <w:pPr>
              <w:jc w:val="center"/>
            </w:pPr>
            <w:r>
              <w:rPr>
                <w:b/>
                <w:rFonts w:ascii="Arial" w:hAnsi="Arial" w:cs="Arial"/>
              </w:rPr>
              <w:t>SUR</w:t>
            </w:r>
          </w:p>
        </w:tc>
        <w:tc>
          <w:tcPr>
            <w:tcW w:w="4500" w:type="dxa"/>
            <w:shd w:val="clear" w:color="auto" w:fill="DDDDDD"/>
            <w:vAlign w:val="center"/>
          </w:tcPr>
          <w:p>
            <w:pPr>
              <w:jc w:val="center"/>
            </w:pPr>
            <w:r>
              <w:rPr>
                <w:b/>
                <w:rFonts w:ascii="Arial" w:hAnsi="Arial" w:cs="Arial"/>
              </w:rPr>
              <w:t xml:space="preserve"> CENTRO</w:t>
            </w:r>
          </w:p>
        </w:tc>
      </w:tr>
      <w:tr>
        <w:tc>
          <w:tcPr>
            <w:tcW w:w="2310" w:type="auto"/>
            <w:shd w:val="clear" w:color="auto" w:fill="DDDDDD"/>
            <w:vAlign w:val="center"/>
          </w:tcPr>
          <w:p>
            <w:pPr>
              <w:jc w:val="center"/>
            </w:pPr>
            <w:r>
              <w:rPr>
                <w:b/>
                <w:rFonts w:ascii="Arial" w:hAnsi="Arial" w:cs="Arial"/>
              </w:rPr>
              <w:t>Pendiente (MW/min)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rFonts w:ascii="Arial" w:hAnsi="Arial" w:cs="Arial"/>
              </w:rPr>
              <w:t>10.50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rFonts w:ascii="Arial" w:hAnsi="Arial" w:cs="Arial"/>
              </w:rPr>
              <w:t>6.45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rFonts w:ascii="Arial" w:hAnsi="Arial" w:cs="Arial"/>
              </w:rPr>
              <w:t>6.45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rFonts w:ascii="Arial" w:hAnsi="Arial" w:cs="Arial"/>
              </w:rPr>
              <w:t>6.45</w:t>
            </w:r>
          </w:p>
        </w:tc>
      </w:tr>
      <w:tr>
        <w:tc>
          <w:tcPr>
            <w:tcW w:w="2310" w:type="auto"/>
            <w:shd w:val="clear" w:color="auto" w:fill="DDDDDD"/>
          </w:tcPr>
          <w:p>
            <w:pPr>
              <w:jc w:val="center"/>
            </w:pPr>
            <w:r>
              <w:rPr>
                <w:b/>
                <w:rFonts w:ascii="Arial" w:hAnsi="Arial" w:cs="Arial"/>
              </w:rPr>
              <w:t xml:space="preserve"> Hora de Toma de Carga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rFonts w:ascii="Arial" w:hAnsi="Arial" w:cs="Arial"/>
              </w:rPr>
              <w:t>6.45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rFonts w:ascii="Arial" w:hAnsi="Arial" w:cs="Arial"/>
              </w:rPr>
              <w:t>6.45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rFonts w:ascii="Arial" w:hAnsi="Arial" w:cs="Arial"/>
              </w:rPr>
              <w:t>6.45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rFonts w:ascii="Arial" w:hAnsi="Arial" w:cs="Arial"/>
              </w:rPr>
              <w:t>6.45</w:t>
            </w:r>
          </w:p>
        </w:tc>
      </w:tr>
    </w:tbl>
    <w:p>
      <w:pPr/>
      <w:r>
        <w:br/>
      </w:r>
      <w:r>
        <w:br/>
      </w:r>
    </w:p>
    <w:p>
      <w:pPr>
        <w:numPr>
          <w:ilvl w:val="0"/>
          <w:numId w:val="2"/>
        </w:numPr>
        <w:jc w:val="both"/>
      </w:pPr>
      <w:r>
        <w:rPr>
          <w:rFonts w:ascii="Arial" w:hAnsi="Arial" w:cs="Arial"/>
          <w:sz w:val="22"/>
          <w:szCs w:val="22"/>
        </w:rPr>
        <w:t>La mínima demanda del SEIN fue 5917 MW y ocurrió a las 03:00 h, mientras que la mayor demanda de la mañana alcanzó un valor de 7280 MW a las 15:30 h</w:t>
      </w:r>
    </w:p>
    <w:p>
      <w:pPr/>
    </w:p>
    <w:p>
      <w:pPr>
        <w:rPr>
          <w:rFonts/>
        </w:rPr>
      </w:pPr>
      <w:r>
        <w:rPr>
          <w:sz w:val="22"/>
          <w:szCs w:val="22"/>
          <w:rFonts w:ascii="Arial" w:hAnsi="Arial" w:cs="Arial"/>
          <w:b/>
        </w:rPr>
        <w:t xml:space="preserve">1.1.2. </w:t>
      </w:r>
      <w:r>
        <w:rPr>
          <w:sz w:val="22"/>
          <w:szCs w:val="22"/>
          <w:rFonts w:ascii="Arial" w:hAnsi="Arial" w:cs="Arial"/>
          <w:b/>
          <w:u w:val="single"/>
        </w:rPr>
        <w:t>EVOLUCIÓN HORARIA DE LA DEMANDA POR ÁREA</w:t>
      </w:r>
      <w:r>
        <w:br/>
      </w:r>
      <w:r>
        <w:rPr>
          <w:rFonts w:ascii="Arial" w:hAnsi="Arial" w:cs="Arial"/>
        </w:rPr>
        <w:t xml:space="preserve"> </w:t>
      </w:r>
    </w:p>
    <w:p>
      <w:pPr/>
      <w:r>
        <w:br/>
      </w:r>
    </w:p>
    <w:tbl>
      <w:tblPr>
        <w:tblStyle w:val="TableGrid"/>
        <w:tblW w:w="5000" w:type="auto"/>
        <w:tblLook w:val="04A0"/>
        <w:jc w:val="center"/>
      </w:tblPr>
      <w:tblGrid>
        <w:gridCol w:w="2310"/>
      </w:tblGrid>
      <w:tr>
        <w:tc>
          <w:tcPr>
            <w:tcW w:w="2310" w:type="auto"/>
          </w:tcPr>
          <w:p>
            <w:pPr>
              <w:jc w:val="center"/>
            </w:pPr>
            <drawing xmlns="http://schemas.openxmlformats.org/wordprocessingml/2006/main">
              <wp:inline xmlns:wp="http://schemas.openxmlformats.org/drawingml/2006/wordprocessingDrawing" distT="0" distB="0" distL="0" distR="0">
                <wp:extent cx="5086350" cy="3390900"/>
                <wp:effectExtent l="0" t="0" r="0" b="0"/>
                <wp:docPr id="1" name="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xmlns:r="http://schemas.openxmlformats.org/officeDocument/2006/relationships" r:embed="R5c304ab143234acd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86350" cy="33909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drawing>
          </w:p>
        </w:tc>
      </w:tr>
    </w:tbl>
    <w:p>
      <w:pPr>
        <w:numPr>
          <w:ilvl w:val="0"/>
          <w:numId w:val="3"/>
        </w:numPr>
        <w:jc w:val="both"/>
      </w:pPr>
      <w:r>
        <w:rPr>
          <w:rFonts w:ascii="Arial" w:hAnsi="Arial" w:cs="Arial"/>
          <w:sz w:val="22"/>
          <w:szCs w:val="22"/>
        </w:rPr>
        <w:t>La máxima demanda del SEIN se presentó a las 15:30 h., mientras que las máximas demandas de las áreas Norte, Centro y Sur ocurrieron a las 19:30 h, 15:00 h y 20:30 h, respectivamente.</w:t>
      </w:r>
    </w:p>
    <w:p>
      <w:pPr/>
      <w:r>
        <w:br/>
      </w:r>
    </w:p>
    <w:p>
      <w:pPr>
        <w:numPr>
          <w:ilvl w:val="0"/>
          <w:numId w:val="3"/>
        </w:numPr>
        <w:jc w:val="both"/>
      </w:pPr>
      <w:r>
        <w:rPr>
          <w:rFonts w:ascii="Arial" w:hAnsi="Arial" w:cs="Arial"/>
          <w:sz w:val="22"/>
          <w:szCs w:val="22"/>
        </w:rPr>
        <w:t>La contribución del área Centro a la máxima demanda del SEIN fue 60.4 %, mientras que las áreas Norte y Sur contribuyeron con 15.9 % y 23.6 % respectivamente.</w:t>
      </w:r>
    </w:p>
    <w:p>
      <w:pPr/>
    </w:p>
    <w:p>
      <w:pPr>
        <w:numPr>
          <w:ilvl w:val="0"/>
          <w:numId w:val="3"/>
        </w:numPr>
      </w:pPr>
      <w:r>
        <w:rPr>
          <w:rFonts w:ascii="Arial" w:hAnsi="Arial" w:cs="Arial"/>
          <w:sz w:val="22"/>
          <w:szCs w:val="22"/>
        </w:rPr>
        <w:t>Los factores de carga fueron: Área Norte: 0.853, Área Centro: 0.891, Área Sur: 0.94.</w:t>
      </w:r>
    </w:p>
    <w:p>
      <w:pPr/>
    </w:p>
    <w:p>
      <w:pPr>
        <w:numPr>
          <w:ilvl w:val="0"/>
          <w:numId w:val="3"/>
        </w:numPr>
      </w:pPr>
      <w:r>
        <w:rPr>
          <w:rFonts w:ascii="Arial" w:hAnsi="Arial" w:cs="Arial"/>
          <w:sz w:val="22"/>
          <w:szCs w:val="22"/>
        </w:rPr>
        <w:t>La velocidad de crecimiento de carga de las áreas Centro, Norte y Sur fueron 3.6, 3.25 y 0.84 MW/min respectivamente.</w:t>
      </w:r>
    </w:p>
    <w:p>
      <w:pPr/>
    </w:p>
    <w:p>
      <w:pPr>
        <w:rPr>
          <w:rFonts/>
        </w:rPr>
      </w:pPr>
      <w:r>
        <w:rPr>
          <w:sz w:val="22"/>
          <w:szCs w:val="22"/>
          <w:rFonts w:ascii="Arial" w:hAnsi="Arial" w:cs="Arial"/>
          <w:b/>
        </w:rPr>
        <w:t xml:space="preserve">1.1.3. </w:t>
      </w:r>
      <w:r>
        <w:rPr>
          <w:sz w:val="22"/>
          <w:szCs w:val="22"/>
          <w:rFonts w:ascii="Arial" w:hAnsi="Arial" w:cs="Arial"/>
          <w:b/>
          <w:u w:val="single"/>
        </w:rPr>
        <w:t>EVOLUCIÓN HORARIA DE LAS CARGAS MAS IMPORTANTES</w:t>
      </w:r>
      <w:r>
        <w:br/>
      </w:r>
    </w:p>
    <w:tbl>
      <w:tblPr>
        <w:tblStyle w:val="TableGrid"/>
        <w:tblW w:w="5000" w:type="auto"/>
        <w:tblLook w:val="04A0"/>
        <w:jc w:val="center"/>
      </w:tblPr>
      <w:tblGrid>
        <w:gridCol w:w="2310"/>
      </w:tblGrid>
      <w:tr>
        <w:tc>
          <w:tcPr>
            <w:tcW w:w="2310" w:type="auto"/>
          </w:tcPr>
          <w:p>
            <w:pPr>
              <w:jc w:val="center"/>
            </w:pPr>
            <drawing xmlns="http://schemas.openxmlformats.org/wordprocessingml/2006/main">
              <wp:inline xmlns:wp="http://schemas.openxmlformats.org/drawingml/2006/wordprocessingDrawing" distT="0" distB="0" distL="0" distR="0">
                <wp:extent cx="5086350" cy="3390900"/>
                <wp:effectExtent l="0" t="0" r="0" b="0"/>
                <wp:docPr id="1" name="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xmlns:r="http://schemas.openxmlformats.org/officeDocument/2006/relationships" r:embed="R95587de51696455a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86350" cy="33909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drawing>
          </w:p>
        </w:tc>
      </w:tr>
    </w:tbl>
    <w:p>
      <w:pPr>
        <w:rPr>
          <w:rFonts/>
        </w:rPr>
      </w:pPr>
      <w:r>
        <w:br/>
      </w:r>
      <w:r>
        <w:rPr>
          <w:rFonts w:ascii="Arial" w:hAnsi="Arial" w:cs="Arial"/>
        </w:rPr>
        <w:t xml:space="preserve"> </w:t>
      </w:r>
    </w:p>
    <w:tbl>
      <w:tblPr>
        <w:tblStyle w:val="TableGrid"/>
        <w:tblW w:w="5000" w:type="auto"/>
        <w:tblLook w:val="04A0"/>
        <w:jc w:val="center"/>
      </w:tblPr>
      <w:tblGrid>
        <w:gridCol w:w="2310"/>
      </w:tblGrid>
      <w:tr>
        <w:tc>
          <w:tcPr>
            <w:tcW w:w="2310" w:type="auto"/>
          </w:tcPr>
          <w:p>
            <w:pPr>
              <w:jc w:val="center"/>
            </w:pPr>
            <drawing xmlns="http://schemas.openxmlformats.org/wordprocessingml/2006/main">
              <wp:inline xmlns:wp="http://schemas.openxmlformats.org/drawingml/2006/wordprocessingDrawing" distT="0" distB="0" distL="0" distR="0">
                <wp:extent cx="5086350" cy="3390900"/>
                <wp:effectExtent l="0" t="0" r="0" b="0"/>
                <wp:docPr id="1" name="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xmlns:r="http://schemas.openxmlformats.org/officeDocument/2006/relationships" r:embed="R5c471fe339e1453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86350" cy="33909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drawing>
          </w:p>
        </w:tc>
      </w:tr>
    </w:tbl>
    <w:p>
      <w:pPr>
        <w:rPr>
          <w:rFonts/>
        </w:rPr>
      </w:pPr>
      <w:r>
        <w:br/>
      </w:r>
      <w:r>
        <w:rPr>
          <w:rFonts w:ascii="Arial" w:hAnsi="Arial" w:cs="Arial"/>
        </w:rPr>
        <w:t xml:space="preserve"> </w:t>
      </w:r>
    </w:p>
    <w:tbl>
      <w:tblPr>
        <w:tblStyle w:val="TableGrid"/>
        <w:tblW w:w="5000" w:type="auto"/>
        <w:tblLook w:val="04A0"/>
        <w:jc w:val="center"/>
      </w:tblPr>
      <w:tblGrid>
        <w:gridCol w:w="2310"/>
      </w:tblGrid>
      <w:tr>
        <w:tc>
          <w:tcPr>
            <w:tcW w:w="2310" w:type="auto"/>
          </w:tcPr>
          <w:p>
            <w:pPr>
              <w:jc w:val="center"/>
            </w:pPr>
            <drawing xmlns="http://schemas.openxmlformats.org/wordprocessingml/2006/main">
              <wp:inline xmlns:wp="http://schemas.openxmlformats.org/drawingml/2006/wordprocessingDrawing" distT="0" distB="0" distL="0" distR="0">
                <wp:extent cx="5086350" cy="3390900"/>
                <wp:effectExtent l="0" t="0" r="0" b="0"/>
                <wp:docPr id="1" name="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xmlns:r="http://schemas.openxmlformats.org/officeDocument/2006/relationships" r:embed="R3d3330e6feaf42e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86350" cy="33909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drawing>
          </w:p>
        </w:tc>
      </w:tr>
    </w:tbl>
    <w:p>
      <w:pPr>
        <w:rPr>
          <w:rFonts/>
        </w:rPr>
      </w:pPr>
      <w:r>
        <w:br/>
      </w:r>
      <w:r>
        <w:rPr>
          <w:rFonts w:ascii="Arial" w:hAnsi="Arial" w:cs="Arial"/>
        </w:rPr>
        <w:t xml:space="preserve"> </w:t>
      </w:r>
    </w:p>
    <w:tbl>
      <w:tblPr>
        <w:tblStyle w:val="TableGrid"/>
        <w:tblW w:w="5000" w:type="auto"/>
        <w:tblLook w:val="04A0"/>
        <w:jc w:val="center"/>
      </w:tblPr>
      <w:tblGrid>
        <w:gridCol w:w="2310"/>
      </w:tblGrid>
      <w:tr>
        <w:tc>
          <w:tcPr>
            <w:tcW w:w="2310" w:type="auto"/>
          </w:tcPr>
          <w:p>
            <w:pPr>
              <w:jc w:val="center"/>
            </w:pPr>
            <drawing xmlns="http://schemas.openxmlformats.org/wordprocessingml/2006/main">
              <wp:inline xmlns:wp="http://schemas.openxmlformats.org/drawingml/2006/wordprocessingDrawing" distT="0" distB="0" distL="0" distR="0">
                <wp:extent cx="5086350" cy="3390900"/>
                <wp:effectExtent l="0" t="0" r="0" b="0"/>
                <wp:docPr id="1" name="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xmlns:r="http://schemas.openxmlformats.org/officeDocument/2006/relationships" r:embed="R2293926fd5d741ef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86350" cy="33909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drawing>
          </w:p>
        </w:tc>
      </w:tr>
    </w:tbl>
    <w:p>
      <w:pPr>
        <w:rPr>
          <w:rFonts/>
        </w:rPr>
      </w:pPr>
      <w:r>
        <w:br/>
      </w:r>
      <w:r>
        <w:rPr>
          <w:rFonts w:ascii="Arial" w:hAnsi="Arial" w:cs="Arial"/>
        </w:rPr>
        <w:t xml:space="preserve"> </w:t>
      </w:r>
    </w:p>
    <w:p>
      <w:pPr>
        <w:rPr>
          <w:rFonts/>
        </w:rPr>
      </w:pPr>
      <w:r>
        <w:rPr>
          <w:sz w:val="22"/>
          <w:szCs w:val="22"/>
          <w:rFonts w:ascii="Arial" w:hAnsi="Arial" w:cs="Arial"/>
          <w:b/>
        </w:rPr>
        <w:t xml:space="preserve">1.1.4. </w:t>
      </w:r>
      <w:r>
        <w:rPr>
          <w:sz w:val="22"/>
          <w:szCs w:val="22"/>
          <w:rFonts w:ascii="Arial" w:hAnsi="Arial" w:cs="Arial"/>
          <w:b/>
          <w:u w:val="single"/>
        </w:rPr>
        <w:t>RECURSOS ENERGÉTICOS Y DIAGRAMA DE DURACIÓN DE CARGA</w:t>
      </w:r>
      <w:r>
        <w:br/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Se presenta el siguiente gráfico:</w:t>
      </w:r>
      <w:r>
        <w:br/>
      </w:r>
    </w:p>
    <w:tbl>
      <w:tblPr>
        <w:tblStyle w:val="TableGrid"/>
        <w:tblW w:w="5000" w:type="auto"/>
        <w:tblLook w:val="04A0"/>
        <w:jc w:val="center"/>
      </w:tblPr>
      <w:tblGrid>
        <w:gridCol w:w="2310"/>
      </w:tblGrid>
      <w:tr>
        <w:tc>
          <w:tcPr>
            <w:tcW w:w="2310" w:type="auto"/>
          </w:tcPr>
          <w:p>
            <w:pPr>
              <w:jc w:val="center"/>
            </w:pPr>
            <drawing xmlns="http://schemas.openxmlformats.org/wordprocessingml/2006/main">
              <wp:inline xmlns:wp="http://schemas.openxmlformats.org/drawingml/2006/wordprocessingDrawing" distT="0" distB="0" distL="0" distR="0">
                <wp:extent cx="5086350" cy="3390900"/>
                <wp:effectExtent l="0" t="0" r="0" b="0"/>
                <wp:docPr id="1" name="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xmlns:r="http://schemas.openxmlformats.org/officeDocument/2006/relationships" r:embed="R4f3780a64b364eea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86350" cy="33909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drawing>
          </w:p>
        </w:tc>
      </w:tr>
    </w:tbl>
    <w:p>
      <w:pPr>
        <w:rPr>
          <w:rFonts/>
        </w:rPr>
      </w:pPr>
      <w:r>
        <w:br/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Del diagrama se observa que:</w:t>
      </w:r>
      <w:r>
        <w:br/>
      </w:r>
    </w:p>
    <w:p>
      <w:pPr/>
      <w:r>
        <w:br/>
      </w:r>
    </w:p>
    <w:p>
      <w:pPr>
        <w:numPr>
          <w:ilvl w:val="0"/>
          <w:numId w:val="4"/>
        </w:numPr>
        <w:jc w:val="both"/>
      </w:pPr>
      <w:r>
        <w:rPr>
          <w:rFonts w:ascii="Arial" w:hAnsi="Arial" w:cs="Arial"/>
          <w:sz w:val="22"/>
          <w:szCs w:val="22"/>
        </w:rPr>
        <w:t>La energía total producida(Incluye exportación a Ecuador) fue 160352.67 MWh.</w:t>
      </w:r>
    </w:p>
    <w:p>
      <w:pPr/>
    </w:p>
    <w:p>
      <w:pPr>
        <w:numPr>
          <w:ilvl w:val="0"/>
          <w:numId w:val="4"/>
        </w:numPr>
        <w:jc w:val="both"/>
      </w:pPr>
      <w:r>
        <w:rPr>
          <w:rFonts w:ascii="Arial" w:hAnsi="Arial" w:cs="Arial"/>
          <w:sz w:val="22"/>
          <w:szCs w:val="22"/>
        </w:rPr>
        <w:t>La energía proporcionada por las centrales de pasada y regulación fueron 27742.91 MWh y 75016.53 MWh respectivamente.</w:t>
      </w:r>
    </w:p>
    <w:p>
      <w:pPr/>
    </w:p>
    <w:p>
      <w:pPr>
        <w:numPr>
          <w:ilvl w:val="0"/>
          <w:numId w:val="4"/>
        </w:numPr>
      </w:pPr>
      <w:r>
        <w:rPr>
          <w:rFonts w:ascii="Arial" w:hAnsi="Arial" w:cs="Arial"/>
          <w:sz w:val="22"/>
          <w:szCs w:val="22"/>
        </w:rPr>
        <w:t>La energía térmica de tipo diesel fue de 0 MWh(0 %).La energía generada con residual fue de 105.55 MWh(0.1 %).La energía generada con gas fue de 49391.85 MWh(30.8 %), con carbón fue de 0 MWh(0 %), bagazo y biogás fueron de 831.93 MWh(0.5 %), la energía eólica fue de 4749.65 MWh(3 %) y la energía generada por las centrales solares fueron de 2514.25 MWh(1.6 %).</w:t>
      </w:r>
    </w:p>
    <w:p>
      <w:pPr/>
    </w:p>
    <w:p>
      <w:pPr>
        <w:numPr>
          <w:ilvl w:val="0"/>
          <w:numId w:val="4"/>
        </w:numPr>
      </w:pPr>
      <w:r>
        <w:rPr>
          <w:rFonts w:ascii="Arial" w:hAnsi="Arial" w:cs="Arial"/>
          <w:sz w:val="22"/>
          <w:szCs w:val="22"/>
        </w:rPr>
        <w:t>Durante 19.5 horas la demanda fue mayor al 85 % de la máxima demanda(81.25 % del tiempo total).</w:t>
      </w:r>
    </w:p>
    <w:p>
      <w:pPr/>
    </w:p>
    <w:p>
      <w:pPr>
        <w:numPr>
          <w:ilvl w:val="0"/>
          <w:numId w:val="4"/>
        </w:numPr>
      </w:pPr>
      <w:r>
        <w:rPr>
          <w:rFonts w:ascii="Arial" w:hAnsi="Arial" w:cs="Arial"/>
          <w:sz w:val="22"/>
          <w:szCs w:val="22"/>
        </w:rPr>
        <w:t>Durante 4.5 horas la demanda estuvo entre el 70 y 85 % de la máxima demanda(18.75 % del tiempo total).</w:t>
      </w:r>
    </w:p>
    <w:p>
      <w:pPr/>
      <w:r>
        <w:br/>
      </w:r>
    </w:p>
    <w:p>
      <w:pPr>
        <w:rPr>
          <w:rFonts/>
        </w:rPr>
      </w:pPr>
      <w:r>
        <w:rPr>
          <w:sz w:val="22"/>
          <w:szCs w:val="22"/>
          <w:rFonts w:ascii="Arial" w:hAnsi="Arial" w:cs="Arial"/>
          <w:b/>
        </w:rPr>
        <w:t xml:space="preserve">1.2. </w:t>
      </w:r>
      <w:r>
        <w:rPr>
          <w:sz w:val="22"/>
          <w:szCs w:val="22"/>
          <w:rFonts w:ascii="Arial" w:hAnsi="Arial" w:cs="Arial"/>
          <w:b/>
          <w:u w:val="single"/>
        </w:rPr>
        <w:t>EVOLUCIÓN DIARIA DE LA PRODUCCIÓN DE ENERGÍA</w:t>
      </w:r>
      <w:r>
        <w:br/>
      </w:r>
      <w:r>
        <w:rPr>
          <w:rFonts w:ascii="Arial" w:hAnsi="Arial" w:cs="Arial"/>
        </w:rPr>
        <w:t xml:space="preserve"> </w:t>
      </w:r>
    </w:p>
    <w:p>
      <w:pPr>
        <w:rPr>
          <w:rFonts/>
        </w:rPr>
      </w:pPr>
      <w:r>
        <w:rPr>
          <w:sz w:val="22"/>
          <w:szCs w:val="22"/>
          <w:rFonts w:ascii="Arial" w:hAnsi="Arial" w:cs="Arial"/>
        </w:rPr>
        <w:t>Se muestra el siguiente gráfico:</w:t>
      </w:r>
      <w:r>
        <w:br/>
      </w:r>
      <w:r>
        <w:rPr>
          <w:rFonts w:ascii="Arial" w:hAnsi="Arial" w:cs="Arial"/>
        </w:rPr>
        <w:t xml:space="preserve"> </w:t>
      </w:r>
    </w:p>
    <w:p>
      <w:pPr>
        <w:rPr>
          <w:rFonts/>
        </w:rPr>
      </w:pPr>
      <w:r>
        <w:rPr>
          <w:sz w:val="22"/>
          <w:szCs w:val="22"/>
          <w:rFonts w:ascii="Arial" w:hAnsi="Arial" w:cs="Arial"/>
        </w:rPr>
        <w:t>Nota: La energía ejecutada fue 160312.21 MWh</w:t>
      </w:r>
      <w:r>
        <w:br/>
      </w:r>
      <w:r>
        <w:rPr>
          <w:rFonts w:ascii="Arial" w:hAnsi="Arial" w:cs="Arial"/>
        </w:rPr>
        <w:t xml:space="preserve"> </w:t>
      </w:r>
    </w:p>
    <w:p>
      <w:pPr>
        <w:rPr>
          <w:rFonts/>
        </w:rPr>
      </w:pPr>
      <w:r>
        <w:rPr>
          <w:sz w:val="22"/>
          <w:szCs w:val="22"/>
          <w:rFonts w:ascii="Arial" w:hAnsi="Arial" w:cs="Arial"/>
        </w:rPr>
        <w:t>La energía ejecutada fue 3622.35 MWh(2.21 %) menor que la programada y 2819.51 MWh(1.73 %) menor que la producida el martes de la semana pasada.</w:t>
      </w:r>
      <w:r>
        <w:br/>
      </w:r>
      <w:r>
        <w:rPr>
          <w:rFonts w:ascii="Arial" w:hAnsi="Arial" w:cs="Arial"/>
        </w:rPr>
        <w:t xml:space="preserve"> </w:t>
      </w:r>
    </w:p>
    <w:p>
      <w:pPr>
        <w:rPr>
          <w:rFonts/>
        </w:rPr>
      </w:pPr>
      <w:r>
        <w:rPr>
          <w:sz w:val="22"/>
          <w:szCs w:val="22"/>
          <w:rFonts w:ascii="Arial" w:hAnsi="Arial" w:cs="Arial"/>
        </w:rPr>
        <w:t>La producción de energía proviene de datos puntuales(instantáneos) de potencia cada 30 minutos por lo que deben ser considerados referenciales. Los valores definitivos se Informan al culminar el mes y corresponderán a registro de medidores.</w:t>
      </w:r>
      <w:r>
        <w:br/>
      </w:r>
      <w:r>
        <w:rPr>
          <w:rFonts w:ascii="Arial" w:hAnsi="Arial" w:cs="Arial"/>
        </w:rPr>
        <w:t xml:space="preserve"> </w:t>
      </w:r>
    </w:p>
    <w:p>
      <w:pPr>
        <w:rPr>
          <w:rFonts/>
        </w:rPr>
      </w:pPr>
      <w:r>
        <w:rPr>
          <w:sz w:val="22"/>
          <w:szCs w:val="22"/>
          <w:rFonts w:ascii="Arial" w:hAnsi="Arial" w:cs="Arial"/>
          <w:b/>
        </w:rPr>
        <w:t xml:space="preserve">1.3. </w:t>
      </w:r>
      <w:r>
        <w:rPr>
          <w:sz w:val="22"/>
          <w:szCs w:val="22"/>
          <w:rFonts w:ascii="Arial" w:hAnsi="Arial" w:cs="Arial"/>
          <w:b/>
          <w:u w:val="single"/>
        </w:rPr>
        <w:t>MÁXIMA GENERACIÓN INSTANTÁNEA</w:t>
      </w:r>
      <w:r>
        <w:br/>
      </w:r>
      <w:r>
        <w:rPr>
          <w:rFonts w:ascii="Arial" w:hAnsi="Arial" w:cs="Arial"/>
        </w:rPr>
        <w:t xml:space="preserve"> </w:t>
      </w:r>
    </w:p>
    <w:tbl>
      <w:tblPr>
        <w:tblStyle w:val="TableGrid"/>
        <w:tblW w:w="5000" w:type="auto"/>
        <w:tblLook w:val="04A0"/>
        <w:jc w:val="center"/>
      </w:tblPr>
      <w:tblGrid>
        <w:gridCol w:w="2310"/>
        <w:gridCol w:w="2310"/>
        <w:gridCol w:w="2310"/>
        <w:gridCol w:w="2310"/>
        <w:gridCol w:w="2310"/>
        <w:gridCol w:w="2310"/>
      </w:tblGrid>
      <w:tr>
        <w:tc>
          <w:tcPr>
            <w:tcW w:w="3000" w:type="dxa"/>
            <w:shd w:val="clear" w:color="auto" w:fill="DDDDDD"/>
            <w:vAlign w:val="center"/>
            <w:vMerge w:val="restart"/>
          </w:tcPr>
          <w:p>
            <w:pPr>
              <w:jc w:val="center"/>
            </w:pPr>
            <w:r>
              <w:rPr>
                <w:b/>
                <w:rFonts w:ascii="Arial" w:hAnsi="Arial" w:cs="Arial"/>
              </w:rPr>
              <w:t>DÍA</w:t>
            </w:r>
          </w:p>
        </w:tc>
        <w:tc>
          <w:tcPr>
            <w:tcW w:w="3000" w:type="dxa"/>
            <w:shd w:val="clear" w:color="auto" w:fill="DDDDDD"/>
            <w:vAlign w:val="center"/>
            <w:gridSpan w:val="2"/>
          </w:tcPr>
          <w:p>
            <w:pPr>
              <w:jc w:val="center"/>
            </w:pPr>
            <w:r>
              <w:rPr>
                <w:b/>
                <w:rFonts w:ascii="Arial" w:hAnsi="Arial" w:cs="Arial"/>
              </w:rPr>
              <w:t>EJECUTADO</w:t>
            </w:r>
          </w:p>
          <w:p>
            <w:pPr>
              <w:rPr>
                <w:b/>
                <w:rFonts/>
              </w:rPr>
              <w:jc w:val="center"/>
            </w:pPr>
          </w:p>
        </w:tc>
        <w:tc>
          <w:tcPr>
            <w:tcW w:w="3000" w:type="dxa"/>
            <w:shd w:val="clear" w:color="auto" w:fill="DDDDDD"/>
            <w:vAlign w:val="center"/>
            <w:gridSpan w:val="2"/>
          </w:tcPr>
          <w:p>
            <w:pPr>
              <w:jc w:val="center"/>
            </w:pPr>
            <w:r>
              <w:rPr>
                <w:b/>
                <w:rFonts w:ascii="Arial" w:hAnsi="Arial" w:cs="Arial"/>
              </w:rPr>
              <w:t>PROGRAMADO</w:t>
            </w:r>
          </w:p>
          <w:p>
            <w:pPr>
              <w:rPr>
                <w:b/>
                <w:rFonts/>
              </w:rPr>
              <w:jc w:val="center"/>
            </w:pPr>
          </w:p>
        </w:tc>
        <w:tc>
          <w:tcPr>
            <w:tcW w:w="4500" w:type="dxa"/>
            <w:shd w:val="clear" w:color="auto" w:fill="DDDDDD"/>
            <w:vAlign w:val="center"/>
            <w:vMerge w:val="restart"/>
          </w:tcPr>
          <w:p>
            <w:pPr>
              <w:jc w:val="center"/>
            </w:pPr>
            <w:r>
              <w:rPr>
                <w:b/>
                <w:rFonts w:ascii="Arial" w:hAnsi="Arial" w:cs="Arial"/>
              </w:rPr>
              <w:t xml:space="preserve">DESVIACIÓN </w:t>
            </w:r>
            <w:r>
              <w:rPr>
                <w:b/>
                <w:rFonts w:ascii="Arial" w:hAnsi="Arial" w:cs="Arial"/>
              </w:rPr>
              <w:br/>
            </w:r>
            <w:r>
              <w:rPr>
                <w:b/>
                <w:rFonts w:ascii="Arial" w:hAnsi="Arial" w:cs="Arial"/>
              </w:rPr>
              <w:t>(%)</w:t>
            </w:r>
          </w:p>
        </w:tc>
      </w:tr>
      <w:tr>
        <w:tc>
          <w:tcPr>
            <w:tcW w:w="2310" w:type="auto"/>
            <w:vMerge/>
          </w:tcPr>
          <w:p>
            <w:pPr>
              <w:rPr>
                <w:rFonts/>
              </w:rPr>
              <w:jc w:val="center"/>
            </w:pPr>
          </w:p>
        </w:tc>
        <w:tc>
          <w:tcPr>
            <w:tcW w:w="2310" w:type="auto"/>
            <w:shd w:val="clear" w:color="auto" w:fill="DDDDDD"/>
          </w:tcPr>
          <w:p>
            <w:pPr>
              <w:jc w:val="center"/>
            </w:pPr>
            <w:r>
              <w:rPr>
                <w:b/>
                <w:rFonts w:ascii="Arial" w:hAnsi="Arial" w:cs="Arial"/>
              </w:rPr>
              <w:t>MW</w:t>
            </w:r>
          </w:p>
        </w:tc>
        <w:tc>
          <w:tcPr>
            <w:tcW w:w="2310" w:type="auto"/>
            <w:shd w:val="clear" w:color="auto" w:fill="DDDDDD"/>
          </w:tcPr>
          <w:p>
            <w:pPr>
              <w:jc w:val="center"/>
            </w:pPr>
            <w:r>
              <w:rPr>
                <w:b/>
                <w:rFonts w:ascii="Arial" w:hAnsi="Arial" w:cs="Arial"/>
              </w:rPr>
              <w:t>HORA</w:t>
            </w:r>
          </w:p>
        </w:tc>
        <w:tc>
          <w:tcPr>
            <w:tcW w:w="2310" w:type="auto"/>
            <w:shd w:val="clear" w:color="auto" w:fill="DDDDDD"/>
            <w:vMerge/>
          </w:tcPr>
          <w:p>
            <w:pPr>
              <w:jc w:val="center"/>
            </w:pPr>
            <w:r>
              <w:rPr>
                <w:b/>
                <w:rFonts w:ascii="Arial" w:hAnsi="Arial" w:cs="Arial"/>
              </w:rPr>
              <w:t>MW</w:t>
            </w:r>
          </w:p>
        </w:tc>
        <w:tc>
          <w:tcPr>
            <w:tcW w:w="2310" w:type="auto"/>
            <w:shd w:val="clear" w:color="auto" w:fill="DDDDDD"/>
          </w:tcPr>
          <w:p>
            <w:pPr>
              <w:jc w:val="center"/>
            </w:pPr>
            <w:r>
              <w:rPr>
                <w:b/>
                <w:rFonts w:ascii="Arial" w:hAnsi="Arial" w:cs="Arial"/>
              </w:rPr>
              <w:t>HORA</w:t>
            </w:r>
          </w:p>
        </w:tc>
        <w:tc>
          <w:tcPr>
            <w:tcW w:w="2310" w:type="auto"/>
          </w:tcPr>
          <w:p>
            <w:pPr>
              <w:rPr>
                <w:rFonts/>
              </w:rPr>
              <w:jc w:val="center"/>
            </w:pP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rPr>
                <w:rFonts w:ascii="Arial" w:hAnsi="Arial" w:cs="Arial"/>
              </w:rPr>
              <w:t>MAR 27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rFonts w:ascii="Arial" w:hAnsi="Arial" w:cs="Arial"/>
              </w:rPr>
              <w:t>7351.2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rFonts w:ascii="Arial" w:hAnsi="Arial" w:cs="Arial"/>
              </w:rPr>
              <w:t>11:30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rFonts w:ascii="Arial" w:hAnsi="Arial" w:cs="Arial"/>
              </w:rPr>
              <w:t>7511.9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rFonts w:ascii="Arial" w:hAnsi="Arial" w:cs="Arial"/>
              </w:rPr>
              <w:t>12:00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rFonts w:ascii="Arial" w:hAnsi="Arial" w:cs="Arial"/>
              </w:rPr>
              <w:t>-2.19</w:t>
            </w: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rPr>
                <w:rFonts w:ascii="Arial" w:hAnsi="Arial" w:cs="Arial"/>
              </w:rPr>
              <w:t>LUN 2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rFonts w:ascii="Arial" w:hAnsi="Arial" w:cs="Arial"/>
              </w:rPr>
              <w:t>7072.9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rFonts w:ascii="Arial" w:hAnsi="Arial" w:cs="Arial"/>
              </w:rPr>
              <w:t>20:30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rFonts w:ascii="Arial" w:hAnsi="Arial" w:cs="Arial"/>
              </w:rPr>
              <w:t>7363.8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rFonts w:ascii="Arial" w:hAnsi="Arial" w:cs="Arial"/>
              </w:rPr>
              <w:t>19:30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rFonts w:ascii="Arial" w:hAnsi="Arial" w:cs="Arial"/>
              </w:rPr>
              <w:t>-4.11</w:t>
            </w: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rPr>
                <w:rFonts w:ascii="Arial" w:hAnsi="Arial" w:cs="Arial"/>
              </w:rPr>
              <w:t>MAR 3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rFonts w:ascii="Arial" w:hAnsi="Arial" w:cs="Arial"/>
              </w:rPr>
              <w:t>7261.1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rFonts w:ascii="Arial" w:hAnsi="Arial" w:cs="Arial"/>
              </w:rPr>
              <w:t>15:30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rFonts w:ascii="Arial" w:hAnsi="Arial" w:cs="Arial"/>
              </w:rPr>
              <w:t>7344.8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rFonts w:ascii="Arial" w:hAnsi="Arial" w:cs="Arial"/>
              </w:rPr>
              <w:t>15:00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rFonts w:ascii="Arial" w:hAnsi="Arial" w:cs="Arial"/>
              </w:rPr>
              <w:t>-1.15</w:t>
            </w:r>
          </w:p>
        </w:tc>
      </w:tr>
    </w:tbl>
    <w:p>
      <w:pPr>
        <w:rPr>
          <w:rFonts/>
        </w:rPr>
      </w:pPr>
      <w:r>
        <w:rPr>
          <w:sz w:val="22"/>
          <w:szCs w:val="22"/>
          <w:rFonts w:ascii="Arial" w:hAnsi="Arial" w:cs="Arial"/>
        </w:rPr>
        <w:t>Nota: La máxima generación instantánea fue 7261.1 MW</w:t>
      </w:r>
      <w:r>
        <w:br/>
      </w:r>
      <w:r>
        <w:rPr>
          <w:rFonts w:ascii="Arial" w:hAnsi="Arial" w:cs="Arial"/>
        </w:rPr>
        <w:t xml:space="preserve"> </w:t>
      </w:r>
    </w:p>
    <w:p>
      <w:pPr>
        <w:rPr>
          <w:rFonts/>
        </w:rPr>
      </w:pPr>
      <w:r>
        <w:rPr>
          <w:sz w:val="22"/>
          <w:szCs w:val="22"/>
          <w:rFonts w:ascii="Arial" w:hAnsi="Arial" w:cs="Arial"/>
        </w:rPr>
        <w:t>La máxima demanda del SEIN disminuyó 90.11 MW(1.23 %) respecto al martes de la semana pasada.</w:t>
      </w:r>
      <w:r>
        <w:br/>
      </w:r>
      <w:r>
        <w:rPr>
          <w:rFonts w:ascii="Arial" w:hAnsi="Arial" w:cs="Arial"/>
        </w:rPr>
        <w:t xml:space="preserve"> </w:t>
      </w:r>
    </w:p>
    <w:p>
      <w:pPr>
        <w:rPr>
          <w:rFonts/>
        </w:rPr>
      </w:pPr>
      <w:r>
        <w:rPr>
          <w:sz w:val="22"/>
          <w:szCs w:val="22"/>
          <w:rFonts w:ascii="Arial" w:hAnsi="Arial" w:cs="Arial"/>
        </w:rPr>
        <w:t>La máxima demanda es a nivel de generación, y proviene de datos puntuales(instantáneos) de potencia cada 30 minutos por lo que deben ser considerados referenciales. Los valores definitivos se informan al culminar el mes y corresponderán a registro de medidores.</w:t>
      </w:r>
      <w:r>
        <w:br/>
      </w:r>
      <w:r>
        <w:rPr>
          <w:rFonts w:ascii="Arial" w:hAnsi="Arial" w:cs="Arial"/>
        </w:rPr>
        <w:t xml:space="preserve"> </w:t>
      </w:r>
    </w:p>
    <w:p>
      <w:pPr>
        <w:rPr>
          <w:rFonts/>
        </w:rPr>
      </w:pPr>
      <w:r>
        <w:rPr>
          <w:sz w:val="22"/>
          <w:szCs w:val="22"/>
          <w:rFonts w:ascii="Arial" w:hAnsi="Arial" w:cs="Arial"/>
          <w:b/>
        </w:rPr>
        <w:t xml:space="preserve">1.4. </w:t>
      </w:r>
      <w:r>
        <w:rPr>
          <w:sz w:val="22"/>
          <w:szCs w:val="22"/>
          <w:rFonts w:ascii="Arial" w:hAnsi="Arial" w:cs="Arial"/>
          <w:b/>
          <w:u w:val="single"/>
        </w:rPr>
        <w:t>PRINCIPALES EVENTOS(FALLAS, INTERRUPCIONES Y RACIONAMIENTO</w:t>
      </w:r>
      <w:r>
        <w:br/>
      </w:r>
      <w:r>
        <w:rPr>
          <w:rFonts w:ascii="Arial" w:hAnsi="Arial" w:cs="Arial"/>
        </w:rPr>
        <w:t xml:space="preserve"> </w:t>
      </w:r>
    </w:p>
    <w:p>
      <w:pPr>
        <w:rPr>
          <w:rFonts/>
        </w:rPr>
      </w:pPr>
      <w:r>
        <w:rPr>
          <w:sz w:val="22"/>
          <w:szCs w:val="22"/>
          <w:rFonts w:ascii="Arial" w:hAnsi="Arial" w:cs="Arial"/>
        </w:rPr>
        <w:t>Se describen los siguientes eventos:</w:t>
      </w:r>
      <w:r>
        <w:br/>
      </w:r>
      <w:r>
        <w:rPr>
          <w:rFonts w:ascii="Arial" w:hAnsi="Arial" w:cs="Arial"/>
        </w:rPr>
        <w:t xml:space="preserve"> </w:t>
      </w:r>
    </w:p>
    <w:p>
      <w:pPr>
        <w:rPr>
          <w:rFonts/>
        </w:rPr>
      </w:pPr>
      <w:r>
        <w:rPr>
          <w:sz w:val="22"/>
          <w:szCs w:val="22"/>
          <w:rFonts w:ascii="Arial" w:hAnsi="Arial" w:cs="Arial"/>
          <w:b/>
        </w:rPr>
        <w:t xml:space="preserve">1.5. </w:t>
      </w:r>
      <w:r>
        <w:rPr>
          <w:sz w:val="22"/>
          <w:szCs w:val="22"/>
          <w:rFonts w:ascii="Arial" w:hAnsi="Arial" w:cs="Arial"/>
          <w:b/>
          <w:u w:val="single"/>
        </w:rPr>
        <w:t>MANTENIMIENTOS PROGRAMADOS Y EJECUTADOS</w:t>
      </w:r>
      <w:r>
        <w:br/>
      </w:r>
      <w:r>
        <w:rPr>
          <w:rFonts w:ascii="Arial" w:hAnsi="Arial" w:cs="Arial"/>
        </w:rPr>
        <w:t xml:space="preserve"> </w:t>
      </w:r>
    </w:p>
    <w:p>
      <w:pPr>
        <w:rPr>
          <w:rFonts/>
        </w:rPr>
      </w:pPr>
      <w:r>
        <w:rPr>
          <w:sz w:val="22"/>
          <w:szCs w:val="22"/>
          <w:rFonts w:ascii="Arial" w:hAnsi="Arial" w:cs="Arial"/>
        </w:rPr>
        <w:t>En el siguiente cuadro se resumen las principales desviaciones al programa diario de mantenimiento:</w:t>
      </w:r>
      <w:r>
        <w:br/>
      </w:r>
      <w:r>
        <w:rPr>
          <w:rFonts w:ascii="Arial" w:hAnsi="Arial" w:cs="Arial"/>
        </w:rPr>
        <w:t xml:space="preserve"> </w:t>
      </w:r>
    </w:p>
    <w:p>
      <w:pPr>
        <w:rPr>
          <w:rFonts/>
        </w:rPr>
      </w:pPr>
      <w:r>
        <w:rPr>
          <w:sz w:val="16"/>
          <w:szCs w:val="16"/>
          <w:rFonts w:ascii="Arial" w:hAnsi="Arial" w:cs="Arial"/>
          <w:i/>
        </w:rPr>
        <w:t>MC: Mantenimiento correctivo MP: Mantenimiento preventivo</w:t>
      </w:r>
      <w:r>
        <w:br/>
      </w:r>
      <w:r>
        <w:rPr>
          <w:rFonts w:ascii="Arial" w:hAnsi="Arial" w:cs="Arial"/>
        </w:rPr>
        <w:t xml:space="preserve"> </w:t>
      </w:r>
    </w:p>
    <w:p>
      <w:pPr>
        <w:rPr>
          <w:rFonts/>
        </w:rPr>
      </w:pPr>
      <w:r>
        <w:rPr>
          <w:sz w:val="22"/>
          <w:szCs w:val="22"/>
          <w:rFonts w:ascii="Arial" w:hAnsi="Arial" w:cs="Arial"/>
          <w:b/>
        </w:rPr>
        <w:t xml:space="preserve">1.6. </w:t>
      </w:r>
      <w:r>
        <w:rPr>
          <w:sz w:val="22"/>
          <w:szCs w:val="22"/>
          <w:rFonts w:ascii="Arial" w:hAnsi="Arial" w:cs="Arial"/>
          <w:b/>
          <w:u w:val="single"/>
        </w:rPr>
        <w:t>OPERACIÓN DE EQUIPOS</w:t>
      </w:r>
      <w:r>
        <w:br/>
      </w:r>
      <w:r>
        <w:rPr>
          <w:rFonts w:ascii="Arial" w:hAnsi="Arial" w:cs="Arial"/>
        </w:rPr>
        <w:t xml:space="preserve"> </w:t>
      </w:r>
    </w:p>
    <w:p>
      <w:pPr>
        <w:rPr>
          <w:rFonts/>
        </w:rPr>
      </w:pPr>
      <w:r>
        <w:rPr>
          <w:sz w:val="22"/>
          <w:szCs w:val="22"/>
          <w:rFonts w:ascii="Arial" w:hAnsi="Arial" w:cs="Arial"/>
          <w:b/>
        </w:rPr>
        <w:t xml:space="preserve">1.6.1. </w:t>
      </w:r>
      <w:r>
        <w:rPr>
          <w:sz w:val="22"/>
          <w:szCs w:val="22"/>
          <w:rFonts w:ascii="Arial" w:hAnsi="Arial" w:cs="Arial"/>
          <w:b/>
          <w:u w:val="single"/>
        </w:rPr>
        <w:t>OPERACIÓN DE CALDEROS</w:t>
      </w:r>
      <w:r>
        <w:br/>
      </w:r>
      <w:r>
        <w:rPr>
          <w:rFonts w:ascii="Arial" w:hAnsi="Arial" w:cs="Arial"/>
        </w:rPr>
        <w:t xml:space="preserve"> </w:t>
      </w:r>
    </w:p>
    <w:p>
      <w:pPr>
        <w:rPr>
          <w:rFonts/>
        </w:rPr>
      </w:pPr>
      <w:r>
        <w:rPr>
          <w:sz w:val="22"/>
          <w:szCs w:val="22"/>
          <w:rFonts w:ascii="Arial" w:hAnsi="Arial" w:cs="Arial"/>
        </w:rPr>
        <w:t>No existe información.</w:t>
      </w:r>
      <w:r>
        <w:br/>
      </w:r>
      <w:r>
        <w:rPr>
          <w:rFonts w:ascii="Arial" w:hAnsi="Arial" w:cs="Arial"/>
        </w:rPr>
        <w:t xml:space="preserve"> </w:t>
      </w:r>
    </w:p>
    <w:p>
      <w:pPr>
        <w:rPr>
          <w:rFonts/>
        </w:rPr>
      </w:pPr>
      <w:r>
        <w:rPr>
          <w:sz w:val="22"/>
          <w:szCs w:val="22"/>
          <w:rFonts w:ascii="Arial" w:hAnsi="Arial" w:cs="Arial"/>
          <w:b/>
        </w:rPr>
        <w:t xml:space="preserve">1.6.2. </w:t>
      </w:r>
      <w:r>
        <w:rPr>
          <w:sz w:val="22"/>
          <w:szCs w:val="22"/>
          <w:rFonts w:ascii="Arial" w:hAnsi="Arial" w:cs="Arial"/>
          <w:b/>
          <w:u w:val="single"/>
        </w:rPr>
        <w:t>OPERACIÓN A CARGA MÍNIMA</w:t>
      </w:r>
      <w:r>
        <w:br/>
      </w:r>
      <w:r>
        <w:rPr>
          <w:rFonts w:ascii="Arial" w:hAnsi="Arial" w:cs="Arial"/>
        </w:rPr>
        <w:t xml:space="preserve"> </w:t>
      </w:r>
    </w:p>
    <w:p>
      <w:pPr>
        <w:rPr>
          <w:rFonts/>
        </w:rPr>
      </w:pPr>
      <w:r>
        <w:rPr>
          <w:sz w:val="22"/>
          <w:szCs w:val="22"/>
          <w:rFonts w:ascii="Arial" w:hAnsi="Arial" w:cs="Arial"/>
        </w:rPr>
        <w:t>Las unidades generadoras que operaron a carga mínima fueron:</w:t>
      </w:r>
      <w:r>
        <w:br/>
      </w:r>
      <w:r>
        <w:rPr>
          <w:rFonts w:ascii="Arial" w:hAnsi="Arial" w:cs="Arial"/>
        </w:rPr>
        <w:t xml:space="preserve"> </w:t>
      </w:r>
    </w:p>
    <w:p>
      <w:pPr>
        <w:rPr>
          <w:rFonts/>
        </w:rPr>
      </w:pPr>
      <w:r>
        <w:rPr>
          <w:sz w:val="22"/>
          <w:szCs w:val="22"/>
          <w:rFonts w:ascii="Arial" w:hAnsi="Arial" w:cs="Arial"/>
          <w:b/>
        </w:rPr>
        <w:t xml:space="preserve">1.7. </w:t>
      </w:r>
      <w:r>
        <w:rPr>
          <w:sz w:val="22"/>
          <w:szCs w:val="22"/>
          <w:rFonts w:ascii="Arial" w:hAnsi="Arial" w:cs="Arial"/>
          <w:b/>
          <w:u w:val="single"/>
        </w:rPr>
        <w:t>RESERVA NO SINCRONIZADA DEL COES</w:t>
      </w:r>
      <w:r>
        <w:br/>
      </w:r>
      <w:r>
        <w:rPr>
          <w:rFonts w:ascii="Arial" w:hAnsi="Arial" w:cs="Arial"/>
        </w:rPr>
        <w:t xml:space="preserve"> </w:t>
      </w:r>
    </w:p>
    <w:p>
      <w:pPr>
        <w:rPr>
          <w:rFonts/>
        </w:rPr>
      </w:pPr>
      <w:r>
        <w:rPr>
          <w:sz w:val="22"/>
          <w:szCs w:val="22"/>
          <w:rFonts w:ascii="Arial" w:hAnsi="Arial" w:cs="Arial"/>
        </w:rPr>
        <w:t>En el siguiente gráfico se muestra la evolución horaria de la reserva no sincronizada de las unidades térmicas del SEIN(reserva fría).</w:t>
      </w:r>
      <w:r>
        <w:br/>
      </w:r>
      <w:r>
        <w:rPr>
          <w:rFonts w:ascii="Arial" w:hAnsi="Arial" w:cs="Arial"/>
        </w:rPr>
        <w:t xml:space="preserve"> </w:t>
      </w:r>
    </w:p>
    <w:p>
      <w:pPr>
        <w:rPr>
          <w:rFonts/>
        </w:rPr>
      </w:pPr>
      <w:r>
        <w:rPr>
          <w:sz w:val="22"/>
          <w:szCs w:val="22"/>
          <w:rFonts w:ascii="Arial" w:hAnsi="Arial" w:cs="Arial"/>
        </w:rPr>
        <w:t>Nota: En el cálculo de la Reserva fría no están incluidas las unidades térmicas con un tiempo de sincronización mayor a 6 horas.</w:t>
      </w:r>
      <w:r>
        <w:br/>
      </w:r>
      <w:r>
        <w:rPr>
          <w:rFonts w:ascii="Arial" w:hAnsi="Arial" w:cs="Arial"/>
        </w:rPr>
        <w:t xml:space="preserve"> </w:t>
      </w:r>
    </w:p>
    <w:tbl>
      <w:tblPr>
        <w:tblStyle w:val="TableGrid"/>
        <w:tblW w:w="5000" w:type="auto"/>
        <w:tblLook w:val="04A0"/>
        <w:jc w:val="center"/>
      </w:tblPr>
      <w:tblGrid>
        <w:gridCol w:w="2310"/>
      </w:tblGrid>
      <w:tr>
        <w:tc>
          <w:tcPr>
            <w:tcW w:w="2310" w:type="auto"/>
          </w:tcPr>
          <w:p>
            <w:pPr>
              <w:jc w:val="center"/>
            </w:pPr>
            <drawing xmlns="http://schemas.openxmlformats.org/wordprocessingml/2006/main">
              <wp:inline xmlns:wp="http://schemas.openxmlformats.org/drawingml/2006/wordprocessingDrawing" distT="0" distB="0" distL="0" distR="0">
                <wp:extent cx="5086350" cy="3390900"/>
                <wp:effectExtent l="0" t="0" r="0" b="0"/>
                <wp:docPr id="1" name="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xmlns:r="http://schemas.openxmlformats.org/officeDocument/2006/relationships" r:embed="R5a56829ae8d3495c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86350" cy="33909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drawing>
          </w:p>
        </w:tc>
      </w:tr>
    </w:tbl>
    <w:p>
      <w:pPr>
        <w:rPr>
          <w:rFonts/>
        </w:rPr>
      </w:pPr>
      <w:r>
        <w:rPr>
          <w:sz w:val="22"/>
          <w:szCs w:val="22"/>
          <w:rFonts w:ascii="Arial" w:hAnsi="Arial" w:cs="Arial"/>
        </w:rPr>
        <w:t>Nota: Corresponde a las unidades de Generación no despachadas pero disponibles con combustible Gas Natural y Carbón.</w:t>
      </w:r>
      <w:r>
        <w:br/>
      </w:r>
      <w:r>
        <w:rPr>
          <w:rFonts w:ascii="Arial" w:hAnsi="Arial" w:cs="Arial"/>
        </w:rPr>
        <w:t xml:space="preserve"> </w:t>
      </w:r>
    </w:p>
    <w:p>
      <w:pPr>
        <w:rPr>
          <w:rFonts/>
        </w:rPr>
      </w:pPr>
      <w:r>
        <w:rPr>
          <w:sz w:val="22"/>
          <w:szCs w:val="22"/>
          <w:rFonts w:ascii="Arial" w:hAnsi="Arial" w:cs="Arial"/>
          <w:b/>
        </w:rPr>
        <w:t xml:space="preserve">1.8. </w:t>
      </w:r>
      <w:r>
        <w:rPr>
          <w:sz w:val="22"/>
          <w:szCs w:val="22"/>
          <w:rFonts w:ascii="Arial" w:hAnsi="Arial" w:cs="Arial"/>
          <w:b/>
          <w:u w:val="single"/>
        </w:rPr>
        <w:t>REGULACION DE TENSIÓN</w:t>
      </w:r>
      <w:r>
        <w:br/>
      </w:r>
      <w:r>
        <w:rPr>
          <w:rFonts w:ascii="Arial" w:hAnsi="Arial" w:cs="Arial"/>
        </w:rPr>
        <w:t xml:space="preserve"> </w:t>
      </w:r>
    </w:p>
    <w:p>
      <w:pPr>
        <w:rPr>
          <w:rFonts/>
        </w:rPr>
      </w:pPr>
      <w:r>
        <w:rPr>
          <w:sz w:val="22"/>
          <w:szCs w:val="22"/>
          <w:rFonts w:ascii="Arial" w:hAnsi="Arial" w:cs="Arial"/>
        </w:rPr>
        <w:t>Las líneas de transmisión que salieron de servicio por falta de equipos de compensación reactiva para regular tensión fueron:</w:t>
      </w:r>
      <w:r>
        <w:br/>
      </w:r>
      <w:r>
        <w:rPr>
          <w:rFonts w:ascii="Arial" w:hAnsi="Arial" w:cs="Arial"/>
        </w:rPr>
        <w:t xml:space="preserve"> </w:t>
      </w:r>
    </w:p>
    <w:p>
      <w:pPr>
        <w:rPr>
          <w:rFonts/>
        </w:rPr>
      </w:pPr>
      <w:r>
        <w:rPr>
          <w:sz w:val="22"/>
          <w:szCs w:val="22"/>
          <w:rFonts w:ascii="Arial" w:hAnsi="Arial" w:cs="Arial"/>
          <w:b/>
        </w:rPr>
        <w:t xml:space="preserve">1.9. </w:t>
      </w:r>
      <w:r>
        <w:rPr>
          <w:sz w:val="22"/>
          <w:szCs w:val="22"/>
          <w:rFonts w:ascii="Arial" w:hAnsi="Arial" w:cs="Arial"/>
          <w:b/>
          <w:u w:val="single"/>
        </w:rPr>
        <w:t>PRUEBAS DE UNIDADES</w:t>
      </w:r>
      <w:r>
        <w:br/>
      </w:r>
      <w:r>
        <w:rPr>
          <w:rFonts w:ascii="Arial" w:hAnsi="Arial" w:cs="Arial"/>
        </w:rPr>
        <w:t xml:space="preserve"> </w:t>
      </w:r>
    </w:p>
    <w:p>
      <w:pPr>
        <w:rPr>
          <w:rFonts/>
        </w:rPr>
      </w:pPr>
      <w:r>
        <w:rPr>
          <w:sz w:val="22"/>
          <w:szCs w:val="22"/>
          <w:rFonts w:ascii="Arial" w:hAnsi="Arial" w:cs="Arial"/>
          <w:b/>
        </w:rPr>
        <w:t xml:space="preserve">A. </w:t>
      </w:r>
      <w:r>
        <w:rPr>
          <w:sz w:val="22"/>
          <w:szCs w:val="22"/>
          <w:rFonts w:ascii="Arial" w:hAnsi="Arial" w:cs="Arial"/>
          <w:b/>
          <w:u w:val="single"/>
        </w:rPr>
        <w:t>ALEATORIAS DE DISPONIBILIDAD</w:t>
      </w:r>
      <w:r>
        <w:br/>
      </w:r>
      <w:r>
        <w:rPr>
          <w:rFonts w:ascii="Arial" w:hAnsi="Arial" w:cs="Arial"/>
        </w:rPr>
        <w:t xml:space="preserve"> </w:t>
      </w:r>
    </w:p>
    <w:p>
      <w:pPr>
        <w:rPr>
          <w:rFonts/>
        </w:rPr>
      </w:pPr>
      <w:r>
        <w:rPr>
          <w:sz w:val="22"/>
          <w:szCs w:val="22"/>
          <w:rFonts w:ascii="Arial" w:hAnsi="Arial" w:cs="Arial"/>
        </w:rPr>
        <w:t>Se realizaron las siguientes pruebas:</w:t>
      </w:r>
      <w:r>
        <w:br/>
      </w:r>
      <w:r>
        <w:rPr>
          <w:rFonts w:ascii="Arial" w:hAnsi="Arial" w:cs="Arial"/>
        </w:rPr>
        <w:t xml:space="preserve"> </w:t>
      </w:r>
    </w:p>
    <w:p>
      <w:pPr>
        <w:rPr>
          <w:rFonts/>
        </w:rPr>
      </w:pPr>
      <w:r>
        <w:rPr>
          <w:sz w:val="22"/>
          <w:szCs w:val="22"/>
          <w:rFonts w:ascii="Arial" w:hAnsi="Arial" w:cs="Arial"/>
          <w:b/>
        </w:rPr>
        <w:t xml:space="preserve">B. </w:t>
      </w:r>
      <w:r>
        <w:rPr>
          <w:sz w:val="22"/>
          <w:szCs w:val="22"/>
          <w:rFonts w:ascii="Arial" w:hAnsi="Arial" w:cs="Arial"/>
          <w:b/>
          <w:u w:val="single"/>
        </w:rPr>
        <w:t>POR REQUERIMIENTOS PROPIOS</w:t>
      </w:r>
      <w:r>
        <w:br/>
      </w:r>
      <w:r>
        <w:rPr>
          <w:rFonts w:ascii="Arial" w:hAnsi="Arial" w:cs="Arial"/>
        </w:rPr>
        <w:t xml:space="preserve"> </w:t>
      </w:r>
    </w:p>
    <w:p>
      <w:pPr>
        <w:rPr>
          <w:rFonts/>
        </w:rPr>
      </w:pPr>
      <w:r>
        <w:rPr>
          <w:sz w:val="22"/>
          <w:szCs w:val="22"/>
          <w:rFonts w:ascii="Arial" w:hAnsi="Arial" w:cs="Arial"/>
        </w:rPr>
        <w:t>No se realizaron pruebas.</w:t>
      </w:r>
      <w:r>
        <w:br/>
      </w:r>
      <w:r>
        <w:rPr>
          <w:rFonts w:ascii="Arial" w:hAnsi="Arial" w:cs="Arial"/>
        </w:rPr>
        <w:t xml:space="preserve"> </w:t>
      </w:r>
    </w:p>
    <w:p>
      <w:pPr>
        <w:rPr>
          <w:rFonts/>
        </w:rPr>
      </w:pPr>
      <w:r>
        <w:rPr>
          <w:sz w:val="22"/>
          <w:szCs w:val="22"/>
          <w:rFonts w:ascii="Arial" w:hAnsi="Arial" w:cs="Arial"/>
          <w:b/>
        </w:rPr>
        <w:t xml:space="preserve">C. </w:t>
      </w:r>
      <w:r>
        <w:rPr>
          <w:sz w:val="22"/>
          <w:szCs w:val="22"/>
          <w:rFonts w:ascii="Arial" w:hAnsi="Arial" w:cs="Arial"/>
          <w:b/>
          <w:u w:val="single"/>
        </w:rPr>
        <w:t>A SOLICITUD DE TERCEROS</w:t>
      </w:r>
      <w:r>
        <w:br/>
      </w:r>
      <w:r>
        <w:rPr>
          <w:rFonts w:ascii="Arial" w:hAnsi="Arial" w:cs="Arial"/>
        </w:rPr>
        <w:t xml:space="preserve"> </w:t>
      </w:r>
    </w:p>
    <w:p>
      <w:pPr>
        <w:rPr>
          <w:rFonts/>
        </w:rPr>
      </w:pPr>
      <w:r>
        <w:rPr>
          <w:sz w:val="22"/>
          <w:szCs w:val="22"/>
          <w:rFonts w:ascii="Arial" w:hAnsi="Arial" w:cs="Arial"/>
        </w:rPr>
        <w:t>No se realizaron pruebas.</w:t>
      </w:r>
      <w:r>
        <w:br/>
      </w:r>
      <w:r>
        <w:rPr>
          <w:rFonts w:ascii="Arial" w:hAnsi="Arial" w:cs="Arial"/>
        </w:rPr>
        <w:t xml:space="preserve"> </w:t>
      </w:r>
    </w:p>
    <w:p>
      <w:pPr>
        <w:rPr>
          <w:rFonts/>
        </w:rPr>
      </w:pPr>
      <w:r>
        <w:rPr>
          <w:sz w:val="22"/>
          <w:szCs w:val="22"/>
          <w:rFonts w:ascii="Arial" w:hAnsi="Arial" w:cs="Arial"/>
          <w:b/>
        </w:rPr>
        <w:t xml:space="preserve">1.10. </w:t>
      </w:r>
      <w:r>
        <w:rPr>
          <w:sz w:val="22"/>
          <w:szCs w:val="22"/>
          <w:rFonts w:ascii="Arial" w:hAnsi="Arial" w:cs="Arial"/>
          <w:b/>
          <w:u w:val="single"/>
        </w:rPr>
        <w:t>SISTEMAS AISLADOS</w:t>
      </w:r>
      <w:r>
        <w:br/>
      </w:r>
      <w:r>
        <w:rPr>
          <w:rFonts w:ascii="Arial" w:hAnsi="Arial" w:cs="Arial"/>
        </w:rPr>
        <w:t xml:space="preserve"> </w:t>
      </w:r>
    </w:p>
    <w:p>
      <w:pPr>
        <w:rPr>
          <w:rFonts/>
        </w:rPr>
      </w:pPr>
      <w:r>
        <w:rPr>
          <w:sz w:val="22"/>
          <w:szCs w:val="22"/>
          <w:rFonts w:ascii="Arial" w:hAnsi="Arial" w:cs="Arial"/>
        </w:rPr>
        <w:t>No hubo sistemas aislados.</w:t>
      </w:r>
      <w:r>
        <w:br/>
      </w:r>
      <w:r>
        <w:rPr>
          <w:rFonts w:ascii="Arial" w:hAnsi="Arial" w:cs="Arial"/>
        </w:rPr>
        <w:t xml:space="preserve"> </w:t>
      </w:r>
    </w:p>
    <w:p>
      <w:pPr>
        <w:rPr>
          <w:rFonts/>
        </w:rPr>
      </w:pPr>
      <w:r>
        <w:rPr>
          <w:sz w:val="22"/>
          <w:szCs w:val="22"/>
          <w:rFonts w:ascii="Arial" w:hAnsi="Arial" w:cs="Arial"/>
          <w:b/>
        </w:rPr>
        <w:t xml:space="preserve">1.11. </w:t>
      </w:r>
      <w:r>
        <w:rPr>
          <w:sz w:val="22"/>
          <w:szCs w:val="22"/>
          <w:rFonts w:ascii="Arial" w:hAnsi="Arial" w:cs="Arial"/>
          <w:b/>
          <w:u w:val="single"/>
        </w:rPr>
        <w:t>CONGESTIÓN</w:t>
      </w:r>
      <w:r>
        <w:br/>
      </w:r>
      <w:r>
        <w:rPr>
          <w:rFonts w:ascii="Arial" w:hAnsi="Arial" w:cs="Arial"/>
        </w:rPr>
        <w:t xml:space="preserve"> </w:t>
      </w:r>
    </w:p>
    <w:p>
      <w:pPr>
        <w:rPr>
          <w:rFonts/>
        </w:rPr>
      </w:pPr>
      <w:r>
        <w:rPr>
          <w:sz w:val="22"/>
          <w:szCs w:val="22"/>
          <w:rFonts w:ascii="Arial" w:hAnsi="Arial" w:cs="Arial"/>
        </w:rPr>
        <w:t>Mediante Resolución Dirección Ejecutiva N°1277 - 2021 - D / COES se establecieron los límites de transmisión de potencia hacia el Área Operativa Sur, vigente desde el miércoles 01 de diciembre de 2021.</w:t>
      </w:r>
      <w:r>
        <w:br/>
      </w:r>
      <w:r>
        <w:rPr>
          <w:rFonts w:ascii="Arial" w:hAnsi="Arial" w:cs="Arial"/>
        </w:rPr>
        <w:t xml:space="preserve"> </w:t>
      </w:r>
    </w:p>
    <w:p>
      <w:pPr>
        <w:rPr>
          <w:rFonts/>
        </w:rPr>
      </w:pPr>
      <w:r>
        <w:rPr>
          <w:sz w:val="22"/>
          <w:szCs w:val="22"/>
          <w:rFonts w:ascii="Arial" w:hAnsi="Arial" w:cs="Arial"/>
        </w:rPr>
        <w:t>https://www.coes.org.pe/Portal/MarcoNormativo/DecisionesEjecutivasNotasTecnicas</w:t>
      </w:r>
      <w:r>
        <w:br/>
      </w:r>
      <w:r>
        <w:rPr>
          <w:rFonts w:ascii="Arial" w:hAnsi="Arial" w:cs="Arial"/>
        </w:rPr>
        <w:t xml:space="preserve"> </w:t>
      </w:r>
    </w:p>
    <w:p>
      <w:pPr>
        <w:rPr>
          <w:rFonts/>
        </w:rPr>
      </w:pPr>
      <w:r>
        <w:rPr>
          <w:sz w:val="22"/>
          <w:szCs w:val="22"/>
          <w:rFonts w:ascii="Arial" w:hAnsi="Arial" w:cs="Arial"/>
        </w:rPr>
        <w:t>Se presenta el siguiente cuadro:</w:t>
      </w:r>
      <w:r>
        <w:br/>
      </w:r>
      <w:r>
        <w:rPr>
          <w:rFonts w:ascii="Arial" w:hAnsi="Arial" w:cs="Arial"/>
        </w:rPr>
        <w:t xml:space="preserve"> </w:t>
      </w:r>
    </w:p>
    <w:p>
      <w:pPr>
        <w:rPr>
          <w:rFonts/>
        </w:rPr>
      </w:pPr>
      <w:r>
        <w:rPr>
          <w:sz w:val="22"/>
          <w:szCs w:val="22"/>
          <w:rFonts w:ascii="Arial" w:hAnsi="Arial" w:cs="Arial"/>
        </w:rPr>
        <w:t>No hubo congestión.</w:t>
      </w:r>
      <w:r>
        <w:br/>
      </w:r>
      <w:r>
        <w:rPr>
          <w:rFonts w:ascii="Arial" w:hAnsi="Arial" w:cs="Arial"/>
        </w:rPr>
        <w:t xml:space="preserve"> </w:t>
      </w:r>
    </w:p>
    <w:p>
      <w:pPr>
        <w:rPr>
          <w:rFonts/>
        </w:rPr>
      </w:pPr>
      <w:r>
        <w:rPr>
          <w:sz w:val="22"/>
          <w:szCs w:val="22"/>
          <w:rFonts w:ascii="Arial" w:hAnsi="Arial" w:cs="Arial"/>
          <w:b/>
        </w:rPr>
        <w:t xml:space="preserve">1.12. </w:t>
      </w:r>
      <w:r>
        <w:rPr>
          <w:sz w:val="22"/>
          <w:szCs w:val="22"/>
          <w:rFonts w:ascii="Arial" w:hAnsi="Arial" w:cs="Arial"/>
          <w:b/>
          <w:u w:val="single"/>
        </w:rPr>
        <w:t>CALIDAD DE PRODUCTO(FRECUENCIA</w:t>
      </w:r>
      <w:r>
        <w:br/>
      </w:r>
      <w:r>
        <w:rPr>
          <w:rFonts w:ascii="Arial" w:hAnsi="Arial" w:cs="Arial"/>
        </w:rPr>
        <w:t xml:space="preserve"> </w:t>
      </w:r>
    </w:p>
    <w:p>
      <w:pPr>
        <w:rPr>
          <w:rFonts/>
        </w:rPr>
      </w:pPr>
      <w:r>
        <w:rPr>
          <w:sz w:val="16"/>
          <w:szCs w:val="16"/>
          <w:rFonts w:ascii="Arial" w:hAnsi="Arial" w:cs="Arial"/>
          <w:i/>
        </w:rPr>
        <w:t>(*) Estos valores de frecuencia son calculados según lo dispuesto por la NTCSE para verificar la tolerancia de las variaciones súbitas(1 minuto).</w:t>
      </w:r>
      <w:r>
        <w:br/>
      </w:r>
      <w:r>
        <w:rPr>
          <w:rFonts w:ascii="Arial" w:hAnsi="Arial" w:cs="Arial"/>
        </w:rPr>
        <w:t xml:space="preserve"> </w:t>
      </w:r>
    </w:p>
    <w:p>
      <w:pPr>
        <w:rPr>
          <w:rFonts/>
        </w:rPr>
      </w:pPr>
      <w:r>
        <w:rPr>
          <w:sz w:val="16"/>
          <w:szCs w:val="16"/>
          <w:rFonts w:ascii="Arial" w:hAnsi="Arial" w:cs="Arial"/>
          <w:i/>
        </w:rPr>
        <w:t>(**) Estos valores de frecuencia son calculados según lo dispuesto por la NTCSE para verificar la tolerancia de las variaciones sostenidas(15 minutos).</w:t>
      </w:r>
      <w:r>
        <w:br/>
      </w:r>
      <w:r>
        <w:rPr>
          <w:rFonts w:ascii="Arial" w:hAnsi="Arial" w:cs="Arial"/>
        </w:rPr>
        <w:t xml:space="preserve"> </w:t>
      </w:r>
    </w:p>
    <w:p>
      <w:pPr>
        <w:rPr>
          <w:rFonts/>
        </w:rPr>
      </w:pPr>
      <w:r>
        <w:rPr>
          <w:sz w:val="22"/>
          <w:szCs w:val="22"/>
          <w:rFonts w:ascii="Arial" w:hAnsi="Arial" w:cs="Arial"/>
          <w:b/>
        </w:rPr>
        <w:t xml:space="preserve">1.13. </w:t>
      </w:r>
      <w:r>
        <w:rPr>
          <w:sz w:val="22"/>
          <w:szCs w:val="22"/>
          <w:rFonts w:ascii="Arial" w:hAnsi="Arial" w:cs="Arial"/>
          <w:b/>
          <w:u w:val="single"/>
        </w:rPr>
        <w:t>FLUJOS POR LAS INTERCONEXIONES(MW)</w:t>
      </w:r>
      <w:r>
        <w:br/>
      </w:r>
      <w:r>
        <w:rPr>
          <w:rFonts w:ascii="Arial" w:hAnsi="Arial" w:cs="Arial"/>
        </w:rPr>
        <w:t xml:space="preserve"> </w:t>
      </w:r>
    </w:p>
    <w:p>
      <w:pPr>
        <w:rPr>
          <w:rFonts/>
        </w:rPr>
      </w:pPr>
      <w:r>
        <w:rPr>
          <w:sz w:val="22"/>
          <w:szCs w:val="22"/>
          <w:rFonts w:ascii="Arial" w:hAnsi="Arial" w:cs="Arial"/>
        </w:rPr>
        <w:t>Se muestra la evolución horaria de los flujos por las interconexiones.</w:t>
      </w:r>
      <w:r>
        <w:br/>
      </w:r>
      <w:r>
        <w:rPr>
          <w:rFonts w:ascii="Arial" w:hAnsi="Arial" w:cs="Arial"/>
        </w:rPr>
        <w:t xml:space="preserve"> </w:t>
      </w:r>
      <w:r>
        <w:br/>
      </w:r>
      <w:r>
        <w:rPr>
          <w:rFonts w:ascii="Arial" w:hAnsi="Arial" w:cs="Arial"/>
        </w:rPr>
        <w:t xml:space="preserve"> </w:t>
      </w:r>
    </w:p>
    <w:tbl>
      <w:tblPr>
        <w:tblStyle w:val="TableGrid"/>
        <w:tblW w:w="5000" w:type="auto"/>
        <w:tblLook w:val="04A0"/>
        <w:jc w:val="center"/>
      </w:tblPr>
      <w:tblGrid>
        <w:gridCol w:w="2310"/>
      </w:tblGrid>
      <w:tr>
        <w:tc>
          <w:tcPr>
            <w:tcW w:w="2310" w:type="auto"/>
          </w:tcPr>
          <w:p>
            <w:pPr>
              <w:jc w:val="center"/>
            </w:pPr>
            <drawing xmlns="http://schemas.openxmlformats.org/wordprocessingml/2006/main">
              <wp:inline xmlns:wp="http://schemas.openxmlformats.org/drawingml/2006/wordprocessingDrawing" distT="0" distB="0" distL="0" distR="0">
                <wp:extent cx="5086350" cy="3390900"/>
                <wp:effectExtent l="0" t="0" r="0" b="0"/>
                <wp:docPr id="1" name="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xmlns:r="http://schemas.openxmlformats.org/officeDocument/2006/relationships" r:embed="R1ca46b0a789647bc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86350" cy="33909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drawing>
          </w:p>
        </w:tc>
      </w:tr>
    </w:tbl>
    <w:tbl>
      <w:tblPr>
        <w:tblStyle w:val="TableGrid"/>
        <w:tblW w:w="5000" w:type="auto"/>
        <w:tblLook w:val="04A0"/>
        <w:jc w:val="center"/>
      </w:tblPr>
      <w:tblGrid>
        <w:gridCol w:w="2310"/>
      </w:tblGrid>
      <w:tr>
        <w:tc>
          <w:tcPr>
            <w:tcW w:w="2310" w:type="auto"/>
          </w:tcPr>
          <w:p>
            <w:pPr>
              <w:jc w:val="center"/>
            </w:pPr>
            <drawing xmlns="http://schemas.openxmlformats.org/wordprocessingml/2006/main">
              <wp:inline xmlns:wp="http://schemas.openxmlformats.org/drawingml/2006/wordprocessingDrawing" distT="0" distB="0" distL="0" distR="0">
                <wp:extent cx="5086350" cy="3390900"/>
                <wp:effectExtent l="0" t="0" r="0" b="0"/>
                <wp:docPr id="1" name="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xmlns:r="http://schemas.openxmlformats.org/officeDocument/2006/relationships" r:embed="R6f925f38e59e482c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86350" cy="33909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drawing>
          </w:p>
        </w:tc>
      </w:tr>
    </w:tbl>
    <w:p>
      <w:pPr>
        <w:rPr>
          <w:rFonts/>
        </w:rPr>
      </w:pPr>
      <w:r>
        <w:rPr>
          <w:sz w:val="22"/>
          <w:szCs w:val="22"/>
          <w:rFonts w:ascii="Arial" w:hAnsi="Arial" w:cs="Arial"/>
          <w:b/>
        </w:rPr>
        <w:t xml:space="preserve">1.14. </w:t>
      </w:r>
      <w:r>
        <w:rPr>
          <w:sz w:val="22"/>
          <w:szCs w:val="22"/>
          <w:rFonts w:ascii="Arial" w:hAnsi="Arial" w:cs="Arial"/>
          <w:b/>
          <w:u w:val="single"/>
        </w:rPr>
        <w:t>Interconexiones Internacionales</w:t>
      </w:r>
      <w:r>
        <w:br/>
      </w:r>
      <w:r>
        <w:rPr>
          <w:rFonts w:ascii="Arial" w:hAnsi="Arial" w:cs="Arial"/>
        </w:rPr>
        <w:t xml:space="preserve"> </w:t>
      </w:r>
    </w:p>
    <w:p>
      <w:pPr>
        <w:rPr>
          <w:rFonts/>
        </w:rPr>
      </w:pPr>
      <w:r>
        <w:rPr>
          <w:sz w:val="22"/>
          <w:szCs w:val="22"/>
          <w:rFonts w:ascii="Arial" w:hAnsi="Arial" w:cs="Arial"/>
          <w:b/>
          <w:color w:val="FF0000"/>
        </w:rPr>
        <w:t xml:space="preserve">2. </w:t>
      </w:r>
      <w:r>
        <w:rPr>
          <w:sz w:val="24"/>
          <w:szCs w:val="24"/>
          <w:rFonts w:ascii="Arial" w:hAnsi="Arial" w:cs="Arial"/>
          <w:b/>
          <w:color w:val="FF0000"/>
          <w:u w:val="single"/>
        </w:rPr>
        <w:t>EVALUACIÓN ECONÓMICA</w:t>
      </w:r>
      <w:r>
        <w:br/>
      </w:r>
      <w:r>
        <w:rPr>
          <w:rFonts w:ascii="Arial" w:hAnsi="Arial" w:cs="Arial"/>
        </w:rPr>
        <w:t xml:space="preserve"> </w:t>
      </w:r>
    </w:p>
    <w:p>
      <w:pPr>
        <w:rPr>
          <w:rFonts/>
        </w:rPr>
      </w:pPr>
      <w:r>
        <w:rPr>
          <w:sz w:val="22"/>
          <w:szCs w:val="22"/>
          <w:rFonts w:ascii="Arial" w:hAnsi="Arial" w:cs="Arial"/>
          <w:b/>
        </w:rPr>
        <w:t xml:space="preserve">2.1. </w:t>
      </w:r>
      <w:r>
        <w:rPr>
          <w:sz w:val="22"/>
          <w:szCs w:val="22"/>
          <w:rFonts w:ascii="Arial" w:hAnsi="Arial" w:cs="Arial"/>
          <w:b/>
          <w:u w:val="single"/>
        </w:rPr>
        <w:t>COSTO TOTAL DE LA OPERACIÓN POR DÍA</w:t>
      </w:r>
      <w:r>
        <w:br/>
      </w:r>
      <w:r>
        <w:rPr>
          <w:rFonts w:ascii="Arial" w:hAnsi="Arial" w:cs="Arial"/>
        </w:rPr>
        <w:t xml:space="preserve"> </w:t>
      </w:r>
    </w:p>
    <w:p>
      <w:pPr>
        <w:rPr>
          <w:rFonts/>
        </w:rPr>
      </w:pPr>
      <w:r>
        <w:rPr>
          <w:sz w:val="22"/>
          <w:szCs w:val="22"/>
          <w:rFonts w:ascii="Arial" w:hAnsi="Arial" w:cs="Arial"/>
        </w:rPr>
        <w:t>El costo total de la operación ejecutado fue S /. 5160846 y resultó S /. 2941707(36.31 %) menor que el correspondiente al martes de la semana pasada.</w:t>
      </w:r>
      <w:r>
        <w:br/>
      </w:r>
      <w:r>
        <w:rPr>
          <w:rFonts w:ascii="Arial" w:hAnsi="Arial" w:cs="Arial"/>
        </w:rPr>
        <w:t xml:space="preserve"> </w:t>
      </w:r>
    </w:p>
    <w:p>
      <w:pPr>
        <w:rPr>
          <w:rFonts/>
        </w:rPr>
      </w:pPr>
      <w:r>
        <w:rPr>
          <w:sz w:val="22"/>
          <w:szCs w:val="22"/>
          <w:rFonts w:ascii="Arial" w:hAnsi="Arial" w:cs="Arial"/>
          <w:b/>
          <w:color w:val="FF0000"/>
        </w:rPr>
        <w:t xml:space="preserve">3. </w:t>
      </w:r>
      <w:r>
        <w:rPr>
          <w:sz w:val="24"/>
          <w:szCs w:val="24"/>
          <w:rFonts w:ascii="Arial" w:hAnsi="Arial" w:cs="Arial"/>
          <w:b/>
          <w:color w:val="FF0000"/>
          <w:u w:val="single"/>
        </w:rPr>
        <w:t>OBSERVACIONES</w:t>
      </w:r>
      <w:r>
        <w:br/>
      </w:r>
      <w:r>
        <w:rPr>
          <w:rFonts w:ascii="Arial" w:hAnsi="Arial" w:cs="Arial"/>
        </w:rPr>
        <w:t xml:space="preserve"> </w:t>
      </w:r>
    </w:p>
    <w:p>
      <w:pPr>
        <w:rPr>
          <w:rFonts/>
        </w:rPr>
      </w:pPr>
      <w:r>
        <w:rPr>
          <w:sz w:val="22"/>
          <w:szCs w:val="22"/>
          <w:rFonts w:ascii="Arial" w:hAnsi="Arial" w:cs="Arial"/>
        </w:rPr>
        <w:t>3.1 Los datos utilizados en los numerales 1.1.1, 1.1.2, 1.1.3, 1.1.4, 1.2, 1.3, 1.8.3.B y 1.12 provienen de datos instantáneos del sistema SCADA de las Empresas.</w:t>
      </w:r>
      <w:r>
        <w:br/>
      </w:r>
      <w:r>
        <w:rPr>
          <w:rFonts w:ascii="Arial" w:hAnsi="Arial" w:cs="Arial"/>
        </w:rPr>
        <w:t xml:space="preserve"> </w:t>
      </w:r>
    </w:p>
    <w:p>
      <w:pPr>
        <w:rPr>
          <w:rFonts/>
        </w:rPr>
      </w:pPr>
      <w:r>
        <w:rPr>
          <w:sz w:val="22"/>
          <w:szCs w:val="22"/>
          <w:rFonts w:ascii="Arial" w:hAnsi="Arial" w:cs="Arial"/>
        </w:rPr>
        <w:t>3.2 El informe incluye los siguientes anexos: Generación ejecutada activa y reactiva, desviación del despacho de las centrales, información hidrológica, compromisos y transferencias por RPF, demandas por áreas operativas, stock y consumo de combustibles sólidos, líquidos y gaseosos.Además los reportes de Horas de operación de las unidades térmicas y de mantenimientos ejecutados.</w:t>
      </w:r>
      <w:r>
        <w:br/>
      </w:r>
      <w:r>
        <w:rPr>
          <w:rFonts w:ascii="Arial" w:hAnsi="Arial" w:cs="Arial"/>
        </w:rPr>
        <w:t xml:space="preserve"> </w:t>
      </w:r>
    </w:p>
    <w:p>
      <w:pPr>
        <w:rPr>
          <w:rFonts/>
        </w:rPr>
      </w:pPr>
      <w:r>
        <w:rPr>
          <w:sz w:val="22"/>
          <w:szCs w:val="22"/>
          <w:rFonts w:ascii="Arial" w:hAnsi="Arial" w:cs="Arial"/>
          <w:b/>
          <w:color w:val="FF0000"/>
        </w:rPr>
        <w:t xml:space="preserve">4. </w:t>
      </w:r>
      <w:r>
        <w:rPr>
          <w:sz w:val="24"/>
          <w:szCs w:val="24"/>
          <w:rFonts w:ascii="Arial" w:hAnsi="Arial" w:cs="Arial"/>
          <w:b/>
          <w:color w:val="FF0000"/>
          <w:u w:val="single"/>
        </w:rPr>
        <w:t>ANEXOS</w:t>
      </w:r>
      <w:r>
        <w:br/>
      </w:r>
      <w:r>
        <w:rPr>
          <w:rFonts w:ascii="Arial" w:hAnsi="Arial" w:cs="Arial"/>
        </w:rPr>
        <w:t xml:space="preserve"> </w:t>
      </w:r>
    </w:p>
    <w:p>
      <w:pPr>
        <w:rPr>
          <w:rFonts/>
        </w:rPr>
      </w:pPr>
      <w:r>
        <w:rPr>
          <w:sz w:val="22"/>
          <w:szCs w:val="22"/>
          <w:rFonts w:ascii="Arial" w:hAnsi="Arial" w:cs="Arial"/>
          <w:b/>
        </w:rPr>
        <w:t>Anexo 1: Resumen de la operación</w:t>
      </w:r>
      <w:r>
        <w:br/>
      </w:r>
      <w:r>
        <w:rPr>
          <w:rFonts w:ascii="Arial" w:hAnsi="Arial" w:cs="Arial"/>
        </w:rPr>
        <w:t xml:space="preserve"> </w:t>
      </w:r>
    </w:p>
    <w:p>
      <w:pPr>
        <w:rPr>
          <w:rFonts/>
        </w:rPr>
      </w:pPr>
      <w:r>
        <w:rPr>
          <w:sz w:val="22"/>
          <w:szCs w:val="22"/>
          <w:rFonts w:ascii="Arial" w:hAnsi="Arial" w:cs="Arial"/>
        </w:rPr>
        <w:t>1.1 RESUMEN - Resumen de generación de energía eléctrica por Empresas Integrantes del COES.</w:t>
      </w:r>
      <w:r>
        <w:br/>
      </w:r>
      <w:r>
        <w:rPr>
          <w:rFonts w:ascii="Arial" w:hAnsi="Arial" w:cs="Arial"/>
        </w:rPr>
        <w:t xml:space="preserve"> </w:t>
      </w:r>
    </w:p>
    <w:p>
      <w:pPr>
        <w:rPr>
          <w:rFonts/>
        </w:rPr>
      </w:pPr>
      <w:r>
        <w:rPr>
          <w:sz w:val="22"/>
          <w:szCs w:val="22"/>
          <w:rFonts w:ascii="Arial" w:hAnsi="Arial" w:cs="Arial"/>
        </w:rPr>
        <w:t>1.2 G_AREAS - Generación por tipo de generación por áreas operativas.</w:t>
      </w:r>
      <w:r>
        <w:br/>
      </w:r>
      <w:r>
        <w:rPr>
          <w:rFonts w:ascii="Arial" w:hAnsi="Arial" w:cs="Arial"/>
        </w:rPr>
        <w:t xml:space="preserve"> </w:t>
      </w:r>
    </w:p>
    <w:p>
      <w:pPr>
        <w:rPr>
          <w:rFonts/>
        </w:rPr>
      </w:pPr>
      <w:r>
        <w:rPr>
          <w:sz w:val="22"/>
          <w:szCs w:val="22"/>
          <w:rFonts w:ascii="Arial" w:hAnsi="Arial" w:cs="Arial"/>
        </w:rPr>
        <w:t>1.3 GENERACION RER -Generación eléctrica de las centrales RER(MW).</w:t>
      </w:r>
      <w:r>
        <w:br/>
      </w:r>
      <w:r>
        <w:rPr>
          <w:rFonts w:ascii="Arial" w:hAnsi="Arial" w:cs="Arial"/>
        </w:rPr>
        <w:t xml:space="preserve"> </w:t>
      </w:r>
    </w:p>
    <w:p>
      <w:pPr>
        <w:rPr>
          <w:rFonts/>
        </w:rPr>
      </w:pPr>
      <w:r>
        <w:rPr>
          <w:sz w:val="22"/>
          <w:szCs w:val="22"/>
          <w:rFonts w:ascii="Arial" w:hAnsi="Arial" w:cs="Arial"/>
        </w:rPr>
        <w:t>1.4 COGENERACION - Centrales de Cogeneración del SEIN.</w:t>
      </w:r>
      <w:r>
        <w:br/>
      </w:r>
      <w:r>
        <w:rPr>
          <w:rFonts w:ascii="Arial" w:hAnsi="Arial" w:cs="Arial"/>
        </w:rPr>
        <w:t xml:space="preserve"> </w:t>
      </w:r>
    </w:p>
    <w:p>
      <w:pPr>
        <w:rPr>
          <w:rFonts/>
        </w:rPr>
      </w:pPr>
      <w:r>
        <w:rPr>
          <w:sz w:val="22"/>
          <w:szCs w:val="22"/>
          <w:rFonts w:ascii="Arial" w:hAnsi="Arial" w:cs="Arial"/>
        </w:rPr>
        <w:t>1.5 TIPO_RECURSO – Reporte de potencia generada por tipo de recurso.</w:t>
      </w:r>
      <w:r>
        <w:br/>
      </w:r>
      <w:r>
        <w:rPr>
          <w:rFonts w:ascii="Arial" w:hAnsi="Arial" w:cs="Arial"/>
        </w:rPr>
        <w:t xml:space="preserve"> </w:t>
      </w:r>
    </w:p>
    <w:p>
      <w:pPr>
        <w:rPr>
          <w:rFonts/>
        </w:rPr>
      </w:pPr>
      <w:r>
        <w:rPr>
          <w:sz w:val="22"/>
          <w:szCs w:val="22"/>
          <w:rFonts w:ascii="Arial" w:hAnsi="Arial" w:cs="Arial"/>
        </w:rPr>
        <w:t>1.6 DESPACHO_EJECUTADO - Potencia activa ejecutada de las unidades de generación del SEIN(MW).</w:t>
      </w:r>
      <w:r>
        <w:br/>
      </w:r>
      <w:r>
        <w:rPr>
          <w:rFonts w:ascii="Arial" w:hAnsi="Arial" w:cs="Arial"/>
        </w:rPr>
        <w:t xml:space="preserve"> </w:t>
      </w:r>
    </w:p>
    <w:p>
      <w:pPr>
        <w:rPr>
          <w:rFonts/>
        </w:rPr>
      </w:pPr>
      <w:r>
        <w:rPr>
          <w:sz w:val="22"/>
          <w:szCs w:val="22"/>
          <w:rFonts w:ascii="Arial" w:hAnsi="Arial" w:cs="Arial"/>
        </w:rPr>
        <w:t>1.7 PROGRAMADO - Programación diaria.</w:t>
      </w:r>
      <w:r>
        <w:br/>
      </w:r>
      <w:r>
        <w:rPr>
          <w:rFonts w:ascii="Arial" w:hAnsi="Arial" w:cs="Arial"/>
        </w:rPr>
        <w:t xml:space="preserve"> </w:t>
      </w:r>
    </w:p>
    <w:p>
      <w:pPr>
        <w:rPr>
          <w:rFonts/>
        </w:rPr>
      </w:pPr>
      <w:r>
        <w:rPr>
          <w:sz w:val="22"/>
          <w:szCs w:val="22"/>
          <w:rFonts w:ascii="Arial" w:hAnsi="Arial" w:cs="Arial"/>
        </w:rPr>
        <w:t>1.8 REPROGRAMADO - Reprogramación diaria.</w:t>
      </w:r>
      <w:r>
        <w:br/>
      </w:r>
      <w:r>
        <w:rPr>
          <w:rFonts w:ascii="Arial" w:hAnsi="Arial" w:cs="Arial"/>
        </w:rPr>
        <w:t xml:space="preserve"> </w:t>
      </w:r>
    </w:p>
    <w:p>
      <w:pPr>
        <w:rPr>
          <w:rFonts/>
        </w:rPr>
      </w:pPr>
      <w:r>
        <w:rPr>
          <w:sz w:val="22"/>
          <w:szCs w:val="22"/>
          <w:rFonts w:ascii="Arial" w:hAnsi="Arial" w:cs="Arial"/>
        </w:rPr>
        <w:t>1.9 DESVIACIÓN - Desviación del despacho de las centrales de generación COES(MW).</w:t>
      </w:r>
      <w:r>
        <w:br/>
      </w:r>
      <w:r>
        <w:rPr>
          <w:rFonts w:ascii="Arial" w:hAnsi="Arial" w:cs="Arial"/>
        </w:rPr>
        <w:t xml:space="preserve"> </w:t>
      </w:r>
    </w:p>
    <w:p>
      <w:pPr>
        <w:rPr>
          <w:rFonts/>
        </w:rPr>
      </w:pPr>
      <w:r>
        <w:rPr>
          <w:sz w:val="22"/>
          <w:szCs w:val="22"/>
          <w:rFonts w:ascii="Arial" w:hAnsi="Arial" w:cs="Arial"/>
        </w:rPr>
        <w:t>1.10 REACTIVA - Potencia reactiva ejecutada de las unidades de generación del COES(MVAR).</w:t>
      </w:r>
      <w:r>
        <w:br/>
      </w:r>
      <w:r>
        <w:rPr>
          <w:rFonts w:ascii="Arial" w:hAnsi="Arial" w:cs="Arial"/>
        </w:rPr>
        <w:t xml:space="preserve"> </w:t>
      </w:r>
    </w:p>
    <w:p>
      <w:pPr>
        <w:rPr>
          <w:rFonts/>
        </w:rPr>
      </w:pPr>
      <w:r>
        <w:rPr>
          <w:sz w:val="22"/>
          <w:szCs w:val="22"/>
          <w:rFonts w:ascii="Arial" w:hAnsi="Arial" w:cs="Arial"/>
        </w:rPr>
        <w:t>1.11 DEMANDA_UL - Potencia de los grandes Usuarios Libres(MW).</w:t>
      </w:r>
      <w:r>
        <w:br/>
      </w:r>
      <w:r>
        <w:rPr>
          <w:rFonts w:ascii="Arial" w:hAnsi="Arial" w:cs="Arial"/>
        </w:rPr>
        <w:t xml:space="preserve"> </w:t>
      </w:r>
    </w:p>
    <w:p>
      <w:pPr>
        <w:rPr>
          <w:rFonts/>
        </w:rPr>
      </w:pPr>
      <w:r>
        <w:rPr>
          <w:sz w:val="22"/>
          <w:szCs w:val="22"/>
          <w:rFonts w:ascii="Arial" w:hAnsi="Arial" w:cs="Arial"/>
        </w:rPr>
        <w:t>1.12 DEMANDA_AREAS - Reporte de la demanda por áreas y sub - áreas operativas(MW).</w:t>
      </w:r>
      <w:r>
        <w:br/>
      </w:r>
      <w:r>
        <w:rPr>
          <w:rFonts w:ascii="Arial" w:hAnsi="Arial" w:cs="Arial"/>
        </w:rPr>
        <w:t xml:space="preserve"> </w:t>
      </w:r>
    </w:p>
    <w:p>
      <w:pPr>
        <w:rPr>
          <w:rFonts/>
        </w:rPr>
      </w:pPr>
      <w:r>
        <w:rPr>
          <w:sz w:val="22"/>
          <w:szCs w:val="22"/>
          <w:rFonts w:ascii="Arial" w:hAnsi="Arial" w:cs="Arial"/>
        </w:rPr>
        <w:t>1.13 FLUJOS - Potencia activa líneas de transmisión del SEIN.</w:t>
      </w:r>
      <w:r>
        <w:br/>
      </w:r>
      <w:r>
        <w:rPr>
          <w:rFonts w:ascii="Arial" w:hAnsi="Arial" w:cs="Arial"/>
        </w:rPr>
        <w:t xml:space="preserve"> </w:t>
      </w:r>
    </w:p>
    <w:p>
      <w:pPr>
        <w:rPr>
          <w:rFonts/>
        </w:rPr>
      </w:pPr>
      <w:r>
        <w:rPr>
          <w:sz w:val="22"/>
          <w:szCs w:val="22"/>
          <w:rFonts w:ascii="Arial" w:hAnsi="Arial" w:cs="Arial"/>
        </w:rPr>
        <w:t>1.14 INTERCONEXIONES - Interconexión entre sistemas operativos del SEIN.</w:t>
      </w:r>
      <w:r>
        <w:br/>
      </w:r>
      <w:r>
        <w:rPr>
          <w:rFonts w:ascii="Arial" w:hAnsi="Arial" w:cs="Arial"/>
        </w:rPr>
        <w:t xml:space="preserve"> </w:t>
      </w:r>
    </w:p>
    <w:p>
      <w:pPr>
        <w:rPr>
          <w:rFonts/>
        </w:rPr>
      </w:pPr>
      <w:r>
        <w:rPr>
          <w:sz w:val="22"/>
          <w:szCs w:val="22"/>
          <w:rFonts w:ascii="Arial" w:hAnsi="Arial" w:cs="Arial"/>
        </w:rPr>
        <w:t>1.15 STOCK_COMB - Reporte de stock de combustibles.</w:t>
      </w:r>
      <w:r>
        <w:br/>
      </w:r>
      <w:r>
        <w:rPr>
          <w:rFonts w:ascii="Arial" w:hAnsi="Arial" w:cs="Arial"/>
        </w:rPr>
        <w:t xml:space="preserve"> </w:t>
      </w:r>
    </w:p>
    <w:p>
      <w:pPr>
        <w:rPr>
          <w:rFonts/>
        </w:rPr>
      </w:pPr>
      <w:r>
        <w:rPr>
          <w:sz w:val="22"/>
          <w:szCs w:val="22"/>
          <w:rFonts w:ascii="Arial" w:hAnsi="Arial" w:cs="Arial"/>
        </w:rPr>
        <w:t>1.16 ENERGÍA_PRIMARIA – Reporte de fuente de Energía Primaria de las unidades RER.</w:t>
      </w:r>
      <w:r>
        <w:br/>
      </w:r>
      <w:r>
        <w:rPr>
          <w:rFonts w:ascii="Arial" w:hAnsi="Arial" w:cs="Arial"/>
        </w:rPr>
        <w:t xml:space="preserve"> </w:t>
      </w:r>
    </w:p>
    <w:p>
      <w:pPr>
        <w:rPr>
          <w:rFonts/>
        </w:rPr>
      </w:pPr>
      <w:r>
        <w:rPr>
          <w:sz w:val="22"/>
          <w:szCs w:val="22"/>
          <w:rFonts w:ascii="Arial" w:hAnsi="Arial" w:cs="Arial"/>
        </w:rPr>
        <w:t>1.17 CALOR_ÚTIL – Registro de Calor Útil.</w:t>
      </w:r>
      <w:r>
        <w:br/>
      </w:r>
      <w:r>
        <w:rPr>
          <w:rFonts w:ascii="Arial" w:hAnsi="Arial" w:cs="Arial"/>
        </w:rPr>
        <w:t xml:space="preserve"> </w:t>
      </w:r>
    </w:p>
    <w:p>
      <w:pPr>
        <w:rPr>
          <w:rFonts/>
        </w:rPr>
      </w:pPr>
      <w:r>
        <w:rPr>
          <w:sz w:val="22"/>
          <w:szCs w:val="22"/>
          <w:rFonts w:ascii="Arial" w:hAnsi="Arial" w:cs="Arial"/>
        </w:rPr>
        <w:t>1.18 STOCK_COMB - Reporte de stock de combustibles.</w:t>
      </w:r>
      <w:r>
        <w:br/>
      </w:r>
      <w:r>
        <w:rPr>
          <w:rFonts w:ascii="Arial" w:hAnsi="Arial" w:cs="Arial"/>
        </w:rPr>
        <w:t xml:space="preserve"> </w:t>
      </w:r>
    </w:p>
    <w:p>
      <w:pPr>
        <w:rPr>
          <w:rFonts/>
        </w:rPr>
      </w:pPr>
      <w:r>
        <w:rPr>
          <w:sz w:val="22"/>
          <w:szCs w:val="22"/>
          <w:rFonts w:ascii="Arial" w:hAnsi="Arial" w:cs="Arial"/>
        </w:rPr>
        <w:t>1.19 CONSUMO_COMB - Reporte de consumo de combustibles.</w:t>
      </w:r>
      <w:r>
        <w:br/>
      </w:r>
      <w:r>
        <w:rPr>
          <w:rFonts w:ascii="Arial" w:hAnsi="Arial" w:cs="Arial"/>
        </w:rPr>
        <w:t xml:space="preserve"> </w:t>
      </w:r>
    </w:p>
    <w:p>
      <w:pPr>
        <w:rPr>
          <w:rFonts/>
        </w:rPr>
      </w:pPr>
      <w:r>
        <w:rPr>
          <w:sz w:val="22"/>
          <w:szCs w:val="22"/>
          <w:rFonts w:ascii="Arial" w:hAnsi="Arial" w:cs="Arial"/>
        </w:rPr>
        <w:t>1.20 PRESIÓN_GAS - Presiones de gas natural de las centrales termoeléctricas.</w:t>
      </w:r>
      <w:r>
        <w:br/>
      </w:r>
      <w:r>
        <w:rPr>
          <w:rFonts w:ascii="Arial" w:hAnsi="Arial" w:cs="Arial"/>
        </w:rPr>
        <w:t xml:space="preserve"> </w:t>
      </w:r>
    </w:p>
    <w:p>
      <w:pPr>
        <w:rPr>
          <w:rFonts/>
        </w:rPr>
      </w:pPr>
      <w:r>
        <w:rPr>
          <w:sz w:val="22"/>
          <w:szCs w:val="22"/>
          <w:rFonts w:ascii="Arial" w:hAnsi="Arial" w:cs="Arial"/>
        </w:rPr>
        <w:t>1.21 TEMP_AMB - Temperatura Ambiente de las centrales termoeléctricas.</w:t>
      </w:r>
      <w:r>
        <w:br/>
      </w:r>
      <w:r>
        <w:rPr>
          <w:rFonts w:ascii="Arial" w:hAnsi="Arial" w:cs="Arial"/>
        </w:rPr>
        <w:t xml:space="preserve"> </w:t>
      </w:r>
    </w:p>
    <w:p>
      <w:pPr>
        <w:rPr>
          <w:rFonts/>
        </w:rPr>
      </w:pPr>
      <w:r>
        <w:rPr>
          <w:sz w:val="22"/>
          <w:szCs w:val="22"/>
          <w:rFonts w:ascii="Arial" w:hAnsi="Arial" w:cs="Arial"/>
        </w:rPr>
        <w:t>1.22 DISPONIBILIDAD_GAS – Reporte de disponibilidad de Gas Natural.</w:t>
      </w:r>
      <w:r>
        <w:br/>
      </w:r>
      <w:r>
        <w:rPr>
          <w:rFonts w:ascii="Arial" w:hAnsi="Arial" w:cs="Arial"/>
        </w:rPr>
        <w:t xml:space="preserve"> </w:t>
      </w:r>
    </w:p>
    <w:p>
      <w:pPr>
        <w:rPr>
          <w:rFonts/>
        </w:rPr>
      </w:pPr>
      <w:r>
        <w:rPr>
          <w:sz w:val="22"/>
          <w:szCs w:val="22"/>
          <w:rFonts w:ascii="Arial" w:hAnsi="Arial" w:cs="Arial"/>
        </w:rPr>
        <w:t>1.23 TRANSGRESIONES – Reporte de GPS.</w:t>
      </w:r>
      <w:r>
        <w:br/>
      </w:r>
      <w:r>
        <w:rPr>
          <w:rFonts w:ascii="Arial" w:hAnsi="Arial" w:cs="Arial"/>
        </w:rPr>
        <w:t xml:space="preserve"> </w:t>
      </w:r>
    </w:p>
    <w:p>
      <w:pPr>
        <w:rPr>
          <w:rFonts/>
        </w:rPr>
      </w:pPr>
      <w:r>
        <w:rPr>
          <w:sz w:val="22"/>
          <w:szCs w:val="22"/>
          <w:rFonts w:ascii="Arial" w:hAnsi="Arial" w:cs="Arial"/>
        </w:rPr>
        <w:t>1.24 RESTRIC_OPE - Restricciones Operativas.</w:t>
      </w:r>
      <w:r>
        <w:br/>
      </w:r>
      <w:r>
        <w:rPr>
          <w:rFonts w:ascii="Arial" w:hAnsi="Arial" w:cs="Arial"/>
        </w:rPr>
        <w:t xml:space="preserve"> </w:t>
      </w:r>
    </w:p>
    <w:p>
      <w:pPr>
        <w:rPr>
          <w:rFonts/>
        </w:rPr>
      </w:pPr>
      <w:r>
        <w:rPr>
          <w:sz w:val="22"/>
          <w:szCs w:val="22"/>
          <w:rFonts w:ascii="Arial" w:hAnsi="Arial" w:cs="Arial"/>
          <w:b/>
        </w:rPr>
        <w:t>Anexo 2: Hidrología de la operación</w:t>
      </w:r>
      <w:r>
        <w:br/>
      </w:r>
      <w:r>
        <w:rPr>
          <w:rFonts w:ascii="Arial" w:hAnsi="Arial" w:cs="Arial"/>
        </w:rPr>
        <w:t xml:space="preserve"> </w:t>
      </w:r>
    </w:p>
    <w:p>
      <w:pPr>
        <w:rPr>
          <w:rFonts/>
        </w:rPr>
      </w:pPr>
      <w:r>
        <w:rPr>
          <w:sz w:val="22"/>
          <w:szCs w:val="22"/>
          <w:rFonts w:ascii="Arial" w:hAnsi="Arial" w:cs="Arial"/>
        </w:rPr>
        <w:t>2.1 Principales caudales de los principales afluentes y volúmenes de embalses y reservorios.</w:t>
      </w:r>
      <w:r>
        <w:br/>
      </w:r>
      <w:r>
        <w:rPr>
          <w:rFonts w:ascii="Arial" w:hAnsi="Arial" w:cs="Arial"/>
        </w:rPr>
        <w:t xml:space="preserve"> </w:t>
      </w:r>
    </w:p>
    <w:p>
      <w:pPr>
        <w:rPr>
          <w:rFonts/>
        </w:rPr>
      </w:pPr>
      <w:r>
        <w:rPr>
          <w:sz w:val="22"/>
          <w:szCs w:val="22"/>
          <w:rFonts w:ascii="Arial" w:hAnsi="Arial" w:cs="Arial"/>
        </w:rPr>
        <w:t>2.2 Vertimientos de Embalses.</w:t>
      </w:r>
      <w:r>
        <w:br/>
      </w:r>
      <w:r>
        <w:rPr>
          <w:rFonts w:ascii="Arial" w:hAnsi="Arial" w:cs="Arial"/>
        </w:rPr>
        <w:t xml:space="preserve"> </w:t>
      </w:r>
    </w:p>
    <w:p>
      <w:pPr>
        <w:rPr>
          <w:rFonts/>
        </w:rPr>
      </w:pPr>
      <w:r>
        <w:rPr>
          <w:sz w:val="22"/>
          <w:szCs w:val="22"/>
          <w:rFonts w:ascii="Arial" w:hAnsi="Arial" w:cs="Arial"/>
        </w:rPr>
        <w:t>2.3 Descarga de Lagunas.</w:t>
      </w:r>
      <w:r>
        <w:br/>
      </w:r>
      <w:r>
        <w:rPr>
          <w:rFonts w:ascii="Arial" w:hAnsi="Arial" w:cs="Arial"/>
        </w:rPr>
        <w:t xml:space="preserve"> </w:t>
      </w:r>
    </w:p>
    <w:p>
      <w:pPr>
        <w:rPr>
          <w:rFonts/>
        </w:rPr>
      </w:pPr>
      <w:r>
        <w:rPr>
          <w:sz w:val="22"/>
          <w:szCs w:val="22"/>
          <w:rFonts w:ascii="Arial" w:hAnsi="Arial" w:cs="Arial"/>
          <w:b/>
        </w:rPr>
        <w:t>Anexo 3: Asignación de reserva Primaria y secundaria del SEIN.</w:t>
      </w:r>
      <w:r>
        <w:br/>
      </w:r>
      <w:r>
        <w:rPr>
          <w:rFonts w:ascii="Arial" w:hAnsi="Arial" w:cs="Arial"/>
        </w:rPr>
        <w:t xml:space="preserve"> </w:t>
      </w:r>
    </w:p>
    <w:p>
      <w:pPr>
        <w:rPr>
          <w:rFonts/>
        </w:rPr>
      </w:pPr>
      <w:r>
        <w:rPr>
          <w:sz w:val="22"/>
          <w:szCs w:val="22"/>
          <w:rFonts w:ascii="Arial" w:hAnsi="Arial" w:cs="Arial"/>
          <w:b/>
        </w:rPr>
        <w:t>Anexo 4: Horas de operación de las unidades térmicas del SEIN.</w:t>
      </w:r>
      <w:r>
        <w:br/>
      </w:r>
      <w:r>
        <w:rPr>
          <w:rFonts w:ascii="Arial" w:hAnsi="Arial" w:cs="Arial"/>
        </w:rPr>
        <w:t xml:space="preserve"> </w:t>
      </w:r>
    </w:p>
    <w:p>
      <w:pPr>
        <w:rPr>
          <w:rFonts/>
        </w:rPr>
      </w:pPr>
      <w:r>
        <w:rPr>
          <w:sz w:val="22"/>
          <w:szCs w:val="22"/>
          <w:rFonts w:ascii="Arial" w:hAnsi="Arial" w:cs="Arial"/>
          <w:b/>
        </w:rPr>
        <w:t>Anexo 5: Mantenimientos ejecutados del SEIN.</w:t>
      </w:r>
      <w:r>
        <w:br/>
      </w:r>
      <w:r>
        <w:rPr>
          <w:rFonts w:ascii="Arial" w:hAnsi="Arial" w:cs="Arial"/>
        </w:rPr>
        <w:t xml:space="preserve"> </w:t>
      </w:r>
    </w:p>
    <w:p>
      <w:pPr>
        <w:rPr>
          <w:rFonts/>
        </w:rPr>
      </w:pPr>
      <w:r>
        <w:rPr>
          <w:sz w:val="22"/>
          <w:szCs w:val="22"/>
          <w:rFonts w:ascii="Arial" w:hAnsi="Arial" w:cs="Arial"/>
          <w:b/>
        </w:rPr>
        <w:t>Anexo 6: Costo Marginal de Corto Plazo del SEIN.</w:t>
      </w:r>
      <w:r>
        <w:br/>
      </w:r>
      <w:r>
        <w:rPr>
          <w:rFonts w:ascii="Arial" w:hAnsi="Arial" w:cs="Arial"/>
        </w:rPr>
        <w:t xml:space="preserve"> </w:t>
      </w:r>
    </w:p>
    <w:p>
      <w:pPr>
        <w:rPr>
          <w:rFonts/>
        </w:rPr>
      </w:pPr>
      <w:r>
        <w:rPr>
          <w:sz w:val="22"/>
          <w:szCs w:val="22"/>
          <w:rFonts w:ascii="Arial" w:hAnsi="Arial" w:cs="Arial"/>
        </w:rPr>
        <w:t xml:space="preserve"> Hora de emisión del informe: 12:00 h.</w:t>
      </w:r>
      <w:r>
        <w:br/>
      </w:r>
      <w:r>
        <w:rPr>
          <w:rFonts w:ascii="Arial" w:hAnsi="Arial" w:cs="Arial"/>
        </w:rPr>
        <w:t xml:space="preserve"> </w:t>
      </w:r>
    </w:p>
    <w:p>
      <w:pPr>
        <w:rPr>
          <w:rFonts/>
        </w:rPr>
      </w:pPr>
      <w:r>
        <w:rPr>
          <w:sz w:val="22"/>
          <w:szCs w:val="22"/>
          <w:rFonts w:ascii="Arial" w:hAnsi="Arial" w:cs="Arial"/>
        </w:rPr>
        <w:t>Fecha: 04.01.2023</w:t>
      </w:r>
      <w:r>
        <w:br/>
      </w:r>
      <w:r>
        <w:rPr>
          <w:rFonts w:ascii="Arial" w:hAnsi="Arial" w:cs="Arial"/>
        </w:rPr>
        <w:t xml:space="preserve"> </w:t>
      </w:r>
    </w:p>
    <w:p>
      <w:pPr>
        <w:rPr>
          <w:rFonts/>
        </w:rPr>
      </w:pPr>
      <w:r>
        <w:rPr>
          <w:sz w:val="22"/>
          <w:szCs w:val="22"/>
          <w:rFonts w:ascii="Arial" w:hAnsi="Arial" w:cs="Arial"/>
        </w:rPr>
        <w:t>Difusión: SGI, SEV, SPR, SME, SCO, SNP, SPL, DP, DO, CC - INTEGRANTES.</w:t>
      </w:r>
      <w:r>
        <w:br/>
      </w:r>
      <w:r>
        <w:rPr>
          <w:rFonts w:ascii="Arial" w:hAnsi="Arial" w:cs="Arial"/>
        </w:rPr>
        <w:t xml:space="preserve"> </w:t>
      </w:r>
    </w:p>
    <w:p>
      <w:pPr>
        <w:rPr>
          <w:rFonts/>
        </w:rPr>
      </w:pPr>
      <w:r>
        <w:rPr>
          <w:sz w:val="22"/>
          <w:szCs w:val="22"/>
          <w:rFonts w:ascii="Arial" w:hAnsi="Arial" w:cs="Arial"/>
        </w:rPr>
        <w:t>NOTA1: Las siglas utilizadas en el presente documento están de acuerdo a la 'Base Metodológica para la Aplicación de la Norma Técnica de Calidad de los Servicios Eléctricos'.</w:t>
      </w:r>
      <w:r>
        <w:br/>
      </w:r>
      <w:r>
        <w:rPr>
          <w:rFonts w:ascii="Arial" w:hAnsi="Arial" w:cs="Arial"/>
        </w:rPr>
        <w:t xml:space="preserve"> </w:t>
      </w:r>
    </w:p>
    <w:p>
      <w:pPr>
        <w:rPr>
          <w:rFonts/>
        </w:rPr>
      </w:pPr>
      <w:r>
        <w:rPr>
          <w:sz w:val="22"/>
          <w:szCs w:val="22"/>
          <w:rFonts w:ascii="Arial" w:hAnsi="Arial" w:cs="Arial"/>
        </w:rPr>
        <w:t>NOTA2: Para el cálculo de la demanda del COES, se considera solo la generación de los Integrantes del COES.</w:t>
      </w:r>
      <w:r>
        <w:br/>
      </w:r>
      <w:r>
        <w:rPr>
          <w:rFonts w:ascii="Arial" w:hAnsi="Arial" w:cs="Arial"/>
        </w:rPr>
        <w:t xml:space="preserve"> </w:t>
      </w:r>
    </w:p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  <w:tbl>
    <w:tblPr>
      <w:tblStyle w:val="TableNormal"/>
      <w:tblW w:w="5000" w:type="auto"/>
      <w:tblLook w:val="04A0"/>
      <w:tblLayout w:type="fixed"/>
    </w:tblPr>
    <w:tblGrid>
      <w:gridCol w:w="2310"/>
      <w:gridCol w:w="2310"/>
    </w:tblGrid>
    <w:tr>
      <w:tc>
        <w:tcPr>
          <w:tcW w:w="5700" w:type="dxa"/>
          <w:vAlign w:val="center"/>
        </w:tcPr>
        <w:p>
          <w:pPr/>
          <w:r>
            <w:rPr>
              <w:rFonts w:ascii="Arial" w:hAnsi="Arial" w:cs="Arial"/>
              <w:b/>
              <w:sz w:val="16"/>
              <w:szCs w:val="16"/>
            </w:rPr>
            <w:t>SEMANA 22</w:t>
          </w:r>
        </w:p>
      </w:tc>
      <w:tc>
        <w:tcPr>
          <w:tcW w:w="4500" w:type="dxa"/>
          <w:vAlign w:val="center"/>
        </w:tcPr>
        <w:p>
          <w:pPr>
            <w:jc w:val="right"/>
          </w:pPr>
          <w:r>
            <w:rPr>
              <w:rFonts w:ascii="Arial" w:hAnsi="Arial" w:cs="Arial"/>
              <w:b/>
              <w:sz w:val="16"/>
              <w:szCs w:val="16"/>
            </w:rPr>
            <w:t xml:space="preserve">Página </w:t>
          </w:r>
          <w:fldSimple w:instr=" PAGE   \* MERGEFORMAT ">
            <w:r xmlns:w="http://schemas.openxmlformats.org/wordprocessingml/2006/main" w:rsidR="001D0226">
              <w:rPr>
                <w:noProof/>
              </w:rPr>
              <w:t>1</w:t>
            </w:r>
          </w:fldSimple>
          <w:r>
            <w:t xml:space="preserve"> de </w:t>
          </w:r>
          <w:fldSimple w:instr=" NUMPAGES   \* MERGEFORMAT ">
            <w:r xmlns:w="http://schemas.openxmlformats.org/wordprocessingml/2006/main" w:rsidR="001D0226">
              <w:rPr>
                <w:noProof/>
              </w:rPr>
              <w:t>1</w:t>
            </w:r>
          </w:fldSimple>
        </w:p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  <w:tbl>
    <w:tblPr>
      <w:tblStyle w:val="TableNormal"/>
      <w:tblW w:w="5000" w:type="auto"/>
      <w:tblLook w:val="04A0"/>
      <w:tblLayout w:type="fixed"/>
    </w:tblPr>
    <w:tblGrid>
      <w:gridCol w:w="2310"/>
      <w:gridCol w:w="2310"/>
    </w:tblGrid>
    <w:tr>
      <w:tc>
        <w:tcPr>
          <w:tcW w:w="5250" w:type="dxa"/>
          <w:vAlign w:val="top"/>
        </w:tcPr>
        <w:p>
          <w:pPr/>
        </w:p>
      </w:tc>
      <w:tc>
        <w:tcPr>
          <w:tcW w:w="4500" w:type="dxa"/>
          <w:vAlign w:val="center"/>
        </w:tcPr>
        <w:p>
          <w:pPr>
            <w:jc w:val="right"/>
          </w:pPr>
          <w:r>
            <w:rPr>
              <w:rFonts w:ascii="Arial" w:hAnsi="Arial" w:cs="Arial"/>
              <w:b/>
              <w:sz w:val="18"/>
              <w:szCs w:val="18"/>
            </w:rPr>
            <w:t>Subdirección de Gestión de la Información</w:t>
          </w:r>
          <w:r>
            <w:br/>
          </w:r>
          <w:r>
            <w:rPr>
              <w:rFonts w:ascii="Arial" w:hAnsi="Arial" w:cs="Arial"/>
              <w:b/>
              <w:sz w:val="18"/>
              <w:szCs w:val="18"/>
            </w:rPr>
            <w:t>IEOD N.°  152/2023</w:t>
          </w:r>
          <w:r>
            <w:br/>
          </w:r>
          <w:r>
            <w:rPr>
              <w:rFonts w:ascii="Arial" w:hAnsi="Arial" w:cs="Arial"/>
              <w:b/>
              <w:sz w:val="18"/>
              <w:szCs w:val="18"/>
            </w:rPr>
            <w:t>01/06/2023</w:t>
          </w:r>
          <w:r>
            <w:br/>
          </w: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2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3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8c15a5658a134ed4" /><Relationship Type="http://schemas.openxmlformats.org/officeDocument/2006/relationships/numbering" Target="/word/numbering.xml" Id="R8cb8ce0721434616" /><Relationship Type="http://schemas.openxmlformats.org/officeDocument/2006/relationships/settings" Target="/word/settings.xml" Id="Rc3164374d6f84af2" /><Relationship Type="http://schemas.openxmlformats.org/officeDocument/2006/relationships/header" Target="/word/header1.xml" Id="R5c16cde0758745a5" /><Relationship Type="http://schemas.openxmlformats.org/officeDocument/2006/relationships/header" Target="/word/header2.xml" Id="R7a8f9d95e5de4a05" /><Relationship Type="http://schemas.openxmlformats.org/officeDocument/2006/relationships/header" Target="/word/header3.xml" Id="Rd8e0ee704cca43c1" /><Relationship Type="http://schemas.openxmlformats.org/officeDocument/2006/relationships/footer" Target="/word/footer1.xml" Id="Rf0804a4afbba464b" /><Relationship Type="http://schemas.openxmlformats.org/officeDocument/2006/relationships/footer" Target="/word/footer2.xml" Id="Rd329f85068c84c2f" /><Relationship Type="http://schemas.openxmlformats.org/officeDocument/2006/relationships/footer" Target="/word/footer3.xml" Id="R64f8a5436dbd4599" /><Relationship Type="http://schemas.openxmlformats.org/officeDocument/2006/relationships/image" Target="/word/media/4d382515-3bfa-407b-9257-92f40b9e9d52.png" Id="Ra75f7a67917541f7" /><Relationship Type="http://schemas.openxmlformats.org/officeDocument/2006/relationships/image" Target="/word/media/a9cf6999-c2e0-49bb-a59d-c7649d65f2cc.png" Id="R5c304ab143234acd" /><Relationship Type="http://schemas.openxmlformats.org/officeDocument/2006/relationships/image" Target="/word/media/60e6804c-83d8-4928-9ab2-145b7f0b4181.png" Id="R95587de51696455a" /><Relationship Type="http://schemas.openxmlformats.org/officeDocument/2006/relationships/image" Target="/word/media/cb758c50-7687-4b93-9a2f-826e5390a428.png" Id="R5c471fe339e14539" /><Relationship Type="http://schemas.openxmlformats.org/officeDocument/2006/relationships/image" Target="/word/media/119001f4-77bb-42b4-8577-6c9afc09600f.png" Id="R3d3330e6feaf42e4" /><Relationship Type="http://schemas.openxmlformats.org/officeDocument/2006/relationships/image" Target="/word/media/e024f8fb-b2c1-4688-96da-e4ca3e8401e9.png" Id="R2293926fd5d741ef" /><Relationship Type="http://schemas.openxmlformats.org/officeDocument/2006/relationships/image" Target="/word/media/62e48afa-7eac-4a12-a998-37a023602685.png" Id="R4f3780a64b364eea" /><Relationship Type="http://schemas.openxmlformats.org/officeDocument/2006/relationships/image" Target="/word/media/3e207d6c-8b40-42e7-af2d-587284edaf07.png" Id="R5a56829ae8d3495c" /><Relationship Type="http://schemas.openxmlformats.org/officeDocument/2006/relationships/image" Target="/word/media/7070314b-d08b-470d-9c77-85912b93551e.png" Id="R1ca46b0a789647bc" /><Relationship Type="http://schemas.openxmlformats.org/officeDocument/2006/relationships/image" Target="/word/media/2cf59563-595f-4417-b2bf-ec57c1630e94.png" Id="R6f925f38e59e482c" /></Relationships>
</file>