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515b7dab8f40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Pr>
        <w:jc w:val="both"/>
      </w:pPr>
      <w:pgSz w:w="11906" w:h="16838"/>
      <w:pgMar w:top="1440" w:right="1140" w:bottom="1440" w:left="1140" w:header="708" w:footer="708" w:gutter="0"/>
      <w:cols w:space="708"/>
      <w:docGrid w:linePitch="360"/>
      <w:headerReference w:type="default" r:id="R9ba0615c63904690"/>
      <w:headerReference w:type="even" r:id="R831e2c06f13a44ff"/>
      <w:headerReference w:type="first" r:id="R2dc62d826ebe4c47"/>
      <w:footerReference w:type="default" r:id="R277db30e3667474e"/>
      <w:footerReference w:type="even" r:id="R7dc17280941a46a8"/>
      <w:footerReference w:type="first" r:id="Rac0475bf17824fe5"/>
    </w:sectPr>
    <w:sectPr/>
    <w:p>
      <w:pPr>
        <w:rPr>
          <w:rFonts/>
        </w:rPr>
        <w:jc w:val="center"/>
      </w:pPr>
      <w:r>
        <w:rPr>
          <w:rFonts w:ascii="Arial" w:hAnsi="Arial" w:cs="Arial"/>
          <w:b/>
          <w:sz w:val="28"/>
          <w:szCs w:val="28"/>
          <w:color w:val="000080"/>
          <w:u w:val="single"/>
        </w:rPr>
        <w:t>INFORME DE EVALUACIÓN DE LA OPERACIÓN DIARIA</w:t>
      </w:r>
    </w:p>
    <w:p>
      <w:pPr>
        <w:rPr>
          <w:rFonts/>
        </w:rPr>
        <w:jc w:val="center"/>
      </w:pPr>
      <w:r>
        <w:rPr>
          <w:rFonts w:ascii="Arial" w:hAnsi="Arial" w:cs="Arial"/>
        </w:rPr>
        <w:br/>
      </w:r>
      <w:r>
        <w:rPr>
          <w:sz w:val="26"/>
          <w:szCs w:val="26"/>
          <w:rFonts w:ascii="Arial" w:hAnsi="Arial" w:cs="Arial"/>
          <w:b/>
          <w:color w:val="000080"/>
          <w:u w:val="single"/>
        </w:rPr>
        <w:t>JUEVES 1 DE JUNIO DE 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4"/>
          <w:szCs w:val="24"/>
          <w:rFonts w:ascii="Arial" w:hAnsi="Arial" w:cs="Arial"/>
          <w:b/>
          <w:color w:val="FF0000"/>
        </w:rPr>
        <w:t xml:space="preserve">1.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TÉCNICA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 </w:t>
      </w:r>
      <w:r>
        <w:rPr>
          <w:sz w:val="22"/>
          <w:szCs w:val="22"/>
          <w:rFonts w:ascii="Arial" w:hAnsi="Arial" w:cs="Arial"/>
          <w:b/>
          <w:u w:val="single"/>
        </w:rPr>
        <w:t>DESPACHOS DEL COES SINAC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1.1.1.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TOTAL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de la demanda en el día: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7d7f687c05d48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sz w:val="22"/>
          <w:szCs w:val="22"/>
          <w:rFonts w:ascii="Arial" w:hAnsi="Arial" w:cs="Arial"/>
          <w:b w:ascii="Arial" w:hAnsi="Arial" w:cs="Arial"/>
        </w:rPr>
        <w:t xml:space="preserve">Programa: </w:t>
      </w:r>
      <w:r>
        <w:rPr>
          <w:rFonts w:ascii="Arial" w:hAnsi="Arial" w:cs="Arial"/>
        </w:rPr>
        <w:t>Emitido a las 18:33 h. del día 31.05.2023</w:t>
      </w:r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Reprogramas:</w:t>
      </w:r>
      <w:r>
        <w:br/>
      </w:r>
      <w:r>
        <w:rPr>
          <w:rFonts w:ascii="Arial" w:hAnsi="Arial" w:cs="Arial"/>
        </w:rPr>
        <w:t xml:space="preserve"> </w:t>
      </w:r>
      <w:r>
        <w:br/>
      </w:r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Reprograma</w:t>
            </w:r>
          </w:p>
        </w:tc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Motivo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- 152-A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mayor disponibilidad de combustible adicional de la C.T.R.F. Ilo y menor disponibilidad hídrica en las CC.HH. Cheves y Platanal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- 152-B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menor disponibilidad hídrica en las CCHH Chimay, Cheves y Chaglla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- 152-C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actualización del perfil de pruebas de la CT Fenix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- 152-D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variación del perfil de pruebas de la C.T. Fénix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SCO - 152-E / Sem 22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menor disponibilidad hídrica en la C.H. Yuncan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El factor de carga del SEIN obtenido del diagrama ejecutado fue 0.93, siendo este valor 0.32 % mayor que el martes de la semana pasada.</w:t>
      </w:r>
    </w:p>
    <w:p>
      <w:pPr/>
    </w:p>
    <w:p>
      <w:pPr>
        <w:numPr>
          <w:ilvl w:val="0"/>
          <w:numId w:val="1"/>
        </w:numPr>
        <w:jc w:val="both"/>
      </w:pPr>
      <w:r>
        <w:rPr>
          <w:rFonts w:ascii="Arial" w:hAnsi="Arial" w:cs="Arial"/>
          <w:sz w:val="22"/>
          <w:szCs w:val="22"/>
        </w:rPr>
        <w:t>La velocidad de crecimiento de la carga al entrar a la hora punta dentro del periodo de 18:30 a 19:00 h aproximadamente, fue 7.68 MW/min, siendo este valor 26.35% menor que el día de ayer y 23.59% menor que el martes de la semana pasada.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6000" w:type="dxa"/>
            <w:shd w:val="clear" w:color="auto" w:fill="DDDDDD"/>
            <w:vAlign w:val="center"/>
          </w:tcPr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SEIN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NORTE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SUR</w:t>
            </w:r>
          </w:p>
        </w:tc>
        <w:tc>
          <w:tcPr>
            <w:tcW w:w="45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CENTRO</w:t>
            </w:r>
          </w:p>
        </w:tc>
      </w:tr>
      <w:tr>
        <w:tc>
          <w:tcPr>
            <w:tcW w:w="2310" w:type="auto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Pendiente (MW/min)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10.50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6.45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3.45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0.85</w:t>
            </w:r>
          </w:p>
        </w:tc>
      </w:tr>
      <w:tr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Hora de Toma de Carga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17:30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18:30</w:t>
            </w:r>
          </w:p>
        </w:tc>
      </w:tr>
    </w:tbl>
    <w:p>
      <w:pPr/>
      <w:r>
        <w:br/>
      </w:r>
      <w:r>
        <w:br/>
      </w:r>
    </w:p>
    <w:p>
      <w:pPr>
        <w:numPr>
          <w:ilvl w:val="0"/>
          <w:numId w:val="2"/>
        </w:numPr>
        <w:jc w:val="both"/>
      </w:pPr>
      <w:r>
        <w:rPr>
          <w:rFonts w:ascii="Arial" w:hAnsi="Arial" w:cs="Arial"/>
          <w:sz w:val="22"/>
          <w:szCs w:val="22"/>
        </w:rPr>
        <w:t>La mínima demanda del SEIN fue 5917 MW y ocurrió a las 03:00 h, mientras que la mayor demanda de la mañana alcanzó un valor de 728 MW a las 15.30 h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1.1.2.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 DEMANDA POR ÁREA</w:t>
      </w:r>
      <w:r>
        <w:br/>
      </w:r>
      <w:r>
        <w:rPr>
          <w:rFonts w:ascii="Arial" w:hAnsi="Arial" w:cs="Arial"/>
        </w:rPr>
        <w:t xml:space="preserve"> </w:t>
      </w:r>
    </w:p>
    <w:p>
      <w:pPr/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876c62e6e0940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máxima demanda del SEIN se presentó a las 15:30 h., mientras que las máximas demandas de las áreas Norte, Centro y Sur ocurrieron a las 19:30 h, 15:00 h y 20:30 h, respectivamente.</w:t>
      </w:r>
    </w:p>
    <w:p>
      <w:pPr/>
      <w:r>
        <w:br/>
      </w:r>
    </w:p>
    <w:p>
      <w:pPr>
        <w:numPr>
          <w:ilvl w:val="0"/>
          <w:numId w:val="3"/>
        </w:numPr>
        <w:jc w:val="both"/>
      </w:pPr>
      <w:r>
        <w:rPr>
          <w:rFonts w:ascii="Arial" w:hAnsi="Arial" w:cs="Arial"/>
          <w:sz w:val="22"/>
          <w:szCs w:val="22"/>
        </w:rPr>
        <w:t>La contribución del área Centro a la máxima demanda del SEIN fue 60.4 %, mientras que las áreas Norte y Sur contribuyeron con 15.9 % y 23.6 % respectivamente.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Los factores de carga fueron: Área Norte: 0.853, Área Centro: 0.891, Área Sur: 0.94.</w:t>
      </w:r>
    </w:p>
    <w:p>
      <w:pPr/>
    </w:p>
    <w:p>
      <w:pPr>
        <w:numPr>
          <w:ilvl w:val="0"/>
          <w:numId w:val="3"/>
        </w:numPr>
      </w:pPr>
      <w:r>
        <w:rPr>
          <w:rFonts w:ascii="Arial" w:hAnsi="Arial" w:cs="Arial"/>
          <w:sz w:val="22"/>
          <w:szCs w:val="22"/>
        </w:rPr>
        <w:t>La velocidad de crecimiento de carga de las áreas Centro, Norte y Sur fueron 3.6, 3.25 y 0.84 MW/min respectivamente.</w:t>
      </w:r>
    </w:p>
    <w:p>
      <w:pPr/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1.1.3. </w:t>
      </w:r>
      <w:r>
        <w:rPr>
          <w:sz w:val="22"/>
          <w:szCs w:val="22"/>
          <w:rFonts w:ascii="Arial" w:hAnsi="Arial" w:cs="Arial"/>
          <w:b/>
          <w:u w:val="single"/>
        </w:rPr>
        <w:t>EVOLUCIÓN HORARIA DE LAS CARGAS MAS IMPORTANTES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5ca5a5c1f1849a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473256e007e433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741663eaf2b408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6c72480a57444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1.1.4. </w:t>
      </w:r>
      <w:r>
        <w:rPr>
          <w:sz w:val="22"/>
          <w:szCs w:val="22"/>
          <w:rFonts w:ascii="Arial" w:hAnsi="Arial" w:cs="Arial"/>
          <w:b/>
          <w:u w:val="single"/>
        </w:rPr>
        <w:t>RECURSOS ENERGÉTICOS Y DIAGRAMA DE DURACIÓN DE CARGA</w:t>
      </w: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el siguiente gráfico:</w:t>
      </w:r>
      <w: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aec255d03f744c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 diagrama se observa que:</w:t>
      </w:r>
      <w:r>
        <w:br/>
      </w:r>
    </w:p>
    <w:p>
      <w:pPr/>
      <w:r>
        <w:br/>
      </w:r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total producida(Incluye exportación a Ecuador) fue 160352.67 MWh.</w:t>
      </w:r>
    </w:p>
    <w:p>
      <w:pPr/>
    </w:p>
    <w:p>
      <w:pPr>
        <w:numPr>
          <w:ilvl w:val="0"/>
          <w:numId w:val="4"/>
        </w:numPr>
        <w:jc w:val="both"/>
      </w:pPr>
      <w:r>
        <w:rPr>
          <w:rFonts w:ascii="Arial" w:hAnsi="Arial" w:cs="Arial"/>
          <w:sz w:val="22"/>
          <w:szCs w:val="22"/>
        </w:rPr>
        <w:t>La energía proporcionada por las centrales de pasada y regulación fueron 27742.91 y 75016.53 MWh respectivamente.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La energía térmica de tipo diesel fue de 0 MWh(0 %).La energía generada con residual fue de 105.55 MWh(0.1 %).La energía generada con gas fue de 49391.85 MWh(30.8 %), con carbón fue de 0 MWh(0 %), bagazo y biogás fueron de 831.93 MWh(0.5 %), la energía eólica fue de 4749.65 MWh(3 %) y la energía generada por las centrales solares fueron de 2514.25 MWh(1.6 %).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19.5 horas la demanda fue mayor al 85 % de la máxima demanda(81.25 % del tiempo total).</w:t>
      </w:r>
    </w:p>
    <w:p>
      <w:pPr/>
    </w:p>
    <w:p>
      <w:pPr>
        <w:numPr>
          <w:ilvl w:val="0"/>
          <w:numId w:val="4"/>
        </w:numPr>
      </w:pPr>
      <w:r>
        <w:rPr>
          <w:rFonts w:ascii="Arial" w:hAnsi="Arial" w:cs="Arial"/>
          <w:sz w:val="22"/>
          <w:szCs w:val="22"/>
        </w:rPr>
        <w:t>Durante 4.5 horas la demanda estuvo entre el 70 y 85 % de la máxima demanda(18.75 % del tiempo total).</w:t>
      </w:r>
    </w:p>
    <w:p>
      <w:pPr/>
      <w:r>
        <w:br/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1.2. </w:t>
      </w:r>
      <w:r>
        <w:rPr>
          <w:sz w:val="22"/>
          <w:szCs w:val="22"/>
          <w:rFonts w:ascii="Arial" w:hAnsi="Arial" w:cs="Arial"/>
          <w:b/>
          <w:u w:val="single"/>
        </w:rPr>
        <w:t>EVOLUCIÓN DIARIA DE LA PRODUCCIÓN DE ENERGÍA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el siguiente gráfico: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energía ejecutada fue 160312.21 MWh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energía ejecutada fue 3622.35 MWh(2.21 %) menor que la programada y 2819.51 MWh(1.73 %) menor que la producida el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producción de energía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1.3. </w:t>
      </w:r>
      <w:r>
        <w:rPr>
          <w:sz w:val="22"/>
          <w:szCs w:val="22"/>
          <w:rFonts w:ascii="Arial" w:hAnsi="Arial" w:cs="Arial"/>
          <w:b/>
          <w:u w:val="single"/>
        </w:rPr>
        <w:t>MÁXIMA GENERACIÓN INSTANTÁNEA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DÍA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EJECUTADO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PROGRAMADO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DESVIACIÓN </w:t>
            </w:r>
            <w:r>
              <w:rPr>
                <w:b/>
                <w:rFonts w:ascii="Arial" w:hAnsi="Arial" w:cs="Arial"/>
              </w:rPr>
              <w:br/>
            </w:r>
            <w:r>
              <w:rPr>
                <w:b/>
                <w:rFonts w:ascii="Arial" w:hAnsi="Arial" w:cs="Arial"/>
              </w:rPr>
              <w:t>(%)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MW</w:t>
            </w: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7351.2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11:30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7511.9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12:00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-2.19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LUN 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7072.9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20:30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7363.8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19:30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-4.11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MAR 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7261.1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15:30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7344.8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15:00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-1.15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La máxima generación instantánea fue 7261.1 MW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del SEIN disminuyó 90.11 MW(1.23 %) respecto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 máxima demanda es a nivel de generación, y proviene de datos puntuales(instantáneos) de potencia cada 30 minutos por lo que deben ser considerados referenciales. Los valores definitivos se informan al culminar el mes y corresponderán a registro de medidores.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1.4. </w:t>
      </w:r>
      <w:r>
        <w:rPr>
          <w:sz w:val="22"/>
          <w:szCs w:val="22"/>
          <w:rFonts w:ascii="Arial" w:hAnsi="Arial" w:cs="Arial"/>
          <w:b/>
          <w:u w:val="single"/>
        </w:rPr>
        <w:t>PRINCIPALES EVENTOS(FALLAS, INTERRUPCIONES Y RACIONAMIENTO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describen los siguientes eventos: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1.5. </w:t>
      </w:r>
      <w:r>
        <w:rPr>
          <w:sz w:val="22"/>
          <w:szCs w:val="22"/>
          <w:rFonts w:ascii="Arial" w:hAnsi="Arial" w:cs="Arial"/>
          <w:b/>
          <w:u w:val="single"/>
        </w:rPr>
        <w:t>MANTENIMIENTOS PROGRAMADOS Y EJECUTADOS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cuadro se resumen las principales desviaciones al programa diario de mantenimiento: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1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</w:t>
            </w: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  <w:gridSpan w:val="2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HORA</w:t>
            </w:r>
          </w:p>
          <w:p>
            <w:pPr>
              <w:rPr>
                <w:b/>
                <w:rFonts/>
              </w:rPr>
              <w:jc w:val="center"/>
            </w:pPr>
          </w:p>
        </w:tc>
        <w:tc>
          <w:tcPr>
            <w:tcW w:w="30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TIPO</w:t>
            </w:r>
          </w:p>
        </w:tc>
        <w:tc>
          <w:tcPr>
            <w:tcW w:w="4500" w:type="dxa"/>
            <w:shd w:val="clear" w:color="auto" w:fill="DDDDDD"/>
            <w:vAlign w:val="center"/>
            <w:vMerge w:val="restart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 xml:space="preserve"> MOTIVO</w:t>
            </w:r>
          </w:p>
        </w:tc>
      </w:tr>
      <w:tr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  <w:shd w:val="clear" w:color="auto" w:fill="DDDDDD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PROG.</w:t>
            </w:r>
          </w:p>
        </w:tc>
        <w:tc>
          <w:tcPr>
            <w:tcW w:w="2310" w:type="auto"/>
            <w:shd w:val="clear" w:color="auto" w:fill="DDDDDD"/>
            <w:vMerge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EJEC.</w:t>
            </w:r>
          </w:p>
        </w:tc>
        <w:tc>
          <w:tcPr>
            <w:tcW w:w="2310" w:type="auto"/>
            <w:vMerge/>
          </w:tcPr>
          <w:p>
            <w:pPr>
              <w:rPr>
                <w:rFonts/>
              </w:rPr>
              <w:jc w:val="center"/>
            </w:pPr>
          </w:p>
        </w:tc>
        <w:tc>
          <w:tcPr>
            <w:tcW w:w="2310" w:type="auto"/>
          </w:tcPr>
          <w:p>
            <w:pPr>
              <w:rPr>
                <w:rFonts/>
              </w:r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REP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CHICLAYO OESTE - FELAM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L-2238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08:51 a 17:06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Limpieza de aisladores(r0097234).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CHILINA D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 a 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Mantenimiento del virador de la turbina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STAT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C.H. PARIAC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CH2 - G2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08:51 a 17:06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Indisponible por falla del bobinado del generador.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EGA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C.H. CHARCANI IV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G2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No programado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 a 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Mantenimiento electromecánico plan 2</w:t>
            </w:r>
          </w:p>
        </w:tc>
      </w:tr>
    </w:tbl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MC: Mantenimiento correctivo MP: Mantenimiento preventivo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 </w:t>
      </w:r>
      <w:r>
        <w:rPr>
          <w:sz w:val="22"/>
          <w:szCs w:val="22"/>
          <w:rFonts w:ascii="Arial" w:hAnsi="Arial" w:cs="Arial"/>
          <w:b/>
          <w:u w:val="single"/>
        </w:rPr>
        <w:t>OPERACIÓN DE EQUIPOS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1.6.1. </w:t>
      </w:r>
      <w:r>
        <w:rPr>
          <w:sz w:val="22"/>
          <w:szCs w:val="22"/>
          <w:rFonts w:ascii="Arial" w:hAnsi="Arial" w:cs="Arial"/>
          <w:b/>
          <w:u w:val="single"/>
        </w:rPr>
        <w:t>OPERACIÓN DE CALDEROS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existe información.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1.6.2. </w:t>
      </w:r>
      <w:r>
        <w:rPr>
          <w:sz w:val="22"/>
          <w:szCs w:val="22"/>
          <w:rFonts w:ascii="Arial" w:hAnsi="Arial" w:cs="Arial"/>
          <w:b/>
          <w:u w:val="single"/>
        </w:rPr>
        <w:t>OPERACIÓN A CARGA MÍNIMA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unidades generadoras que operaron a carga mínima fueron: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EMPRESA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04:18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05:06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07:10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ENELG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VENTANILLA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TG4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23:25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24:00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ENG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CHILCA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08:17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CHILCA 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08:17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FENIX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CENTRAL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00:00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09:28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1.7. </w:t>
      </w:r>
      <w:r>
        <w:rPr>
          <w:sz w:val="22"/>
          <w:szCs w:val="22"/>
          <w:rFonts w:ascii="Arial" w:hAnsi="Arial" w:cs="Arial"/>
          <w:b/>
          <w:u w:val="single"/>
        </w:rPr>
        <w:t>RESERVA NO SINCRONIZADA DEL COES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En el siguiente gráfico se muestra la evolución horaria de la reserva no sincronizada de las unidades térmicas del SEIN(reserva fría).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En el cálculo de la Reserva fría no están incluidas las unidades térmicas con un tiempo de sincronización mayor a 6 horas.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d3c276bf6114c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Nota: Corresponde a las unidades de Generación no despachadas pero disponibles con combustible Gas Natural y Carbón.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1.8. </w:t>
      </w:r>
      <w:r>
        <w:rPr>
          <w:sz w:val="22"/>
          <w:szCs w:val="22"/>
          <w:rFonts w:ascii="Arial" w:hAnsi="Arial" w:cs="Arial"/>
          <w:b/>
          <w:u w:val="single"/>
        </w:rPr>
        <w:t>REGULACION DE TENSIÓN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Las líneas de transmisión que salieron de servicio por falta de equipos de compensación reactiva para regular tensión fueron: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MOTIVO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EDS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MANCHAY - PACHACUTEC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L-2133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03:34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Por regulación de tensión en Lima.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EDS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L. PACHACUTEC - PROGRESO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L-2135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03:35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09:27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Por regulación de tensión en Lima.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1.9. </w:t>
      </w:r>
      <w:r>
        <w:rPr>
          <w:sz w:val="22"/>
          <w:szCs w:val="22"/>
          <w:rFonts w:ascii="Arial" w:hAnsi="Arial" w:cs="Arial"/>
          <w:b/>
          <w:u w:val="single"/>
        </w:rPr>
        <w:t>PRUEBAS DE UNIDADES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A. </w:t>
      </w:r>
      <w:r>
        <w:rPr>
          <w:sz w:val="22"/>
          <w:szCs w:val="22"/>
          <w:rFonts w:ascii="Arial" w:hAnsi="Arial" w:cs="Arial"/>
          <w:b/>
          <w:u w:val="single"/>
        </w:rPr>
        <w:t>ALEATORIAS DE DISPONIBILIDAD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realizaron las siguientes pruebas: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EMPRESA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UBICACIÓN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OBSERVACIÓN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SHO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C.T. SAN NICOLÁS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TV3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01:08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03:48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 las 15:30 h del 02-01-2023 se coordinó arranque. A las 01:48 h, llegó a máxima potencia.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B. </w:t>
      </w:r>
      <w:r>
        <w:rPr>
          <w:sz w:val="22"/>
          <w:szCs w:val="22"/>
          <w:rFonts w:ascii="Arial" w:hAnsi="Arial" w:cs="Arial"/>
          <w:b/>
          <w:u w:val="single"/>
        </w:rPr>
        <w:t>POR REQUERIMIENTOS PROPIOS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C. </w:t>
      </w:r>
      <w:r>
        <w:rPr>
          <w:sz w:val="22"/>
          <w:szCs w:val="22"/>
          <w:rFonts w:ascii="Arial" w:hAnsi="Arial" w:cs="Arial"/>
          <w:b/>
          <w:u w:val="single"/>
        </w:rPr>
        <w:t>A SOLICITUD DE TERCEROS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se realizaron pruebas.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1.10. </w:t>
      </w:r>
      <w:r>
        <w:rPr>
          <w:sz w:val="22"/>
          <w:szCs w:val="22"/>
          <w:rFonts w:ascii="Arial" w:hAnsi="Arial" w:cs="Arial"/>
          <w:b/>
          <w:u w:val="single"/>
        </w:rPr>
        <w:t>SISTEMAS AISLADOS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sistemas aislados.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1.11. </w:t>
      </w:r>
      <w:r>
        <w:rPr>
          <w:sz w:val="22"/>
          <w:szCs w:val="22"/>
          <w:rFonts w:ascii="Arial" w:hAnsi="Arial" w:cs="Arial"/>
          <w:b/>
          <w:u w:val="single"/>
        </w:rPr>
        <w:t>CONGESTIÓN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Mediante Resolución Dirección Ejecutiva N°1277 - 2021 - D / COES se establecieron los límites de transmisión de potencia hacia el Área Operativa Sur, vigente desde el miércoles 01 de diciembre de 2021.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https://www.coes.org.pe/Portal/MarcoNormativo/DecisionesEjecutivasNotasTecnicas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presenta el siguiente cuadro: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 hubo congestión.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1.12. </w:t>
      </w:r>
      <w:r>
        <w:rPr>
          <w:sz w:val="22"/>
          <w:szCs w:val="22"/>
          <w:rFonts w:ascii="Arial" w:hAnsi="Arial" w:cs="Arial"/>
          <w:b/>
          <w:u w:val="single"/>
        </w:rPr>
        <w:t>CALIDAD DE PRODUCTO(FRECUENCIA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(*) Estos valores de frecuencia son calculados según lo dispuesto por la NTCSE para verificar la tolerancia de las variaciones súbitas(1 minuto).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16"/>
          <w:szCs w:val="16"/>
          <w:rFonts w:ascii="Arial" w:hAnsi="Arial" w:cs="Arial"/>
          <w:i/>
        </w:rPr>
        <w:t>(**) Estos valores de frecuencia son calculados según lo dispuesto por la NTCSE para verificar la tolerancia de las variaciones sostenidas(15 minutos).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5ae1e0542f0497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1.13. </w:t>
      </w:r>
      <w:r>
        <w:rPr>
          <w:sz w:val="22"/>
          <w:szCs w:val="22"/>
          <w:rFonts w:ascii="Arial" w:hAnsi="Arial" w:cs="Arial"/>
          <w:b/>
          <w:u w:val="single"/>
        </w:rPr>
        <w:t>FLUJOS POR LAS INTERCONEXIONES(MW)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Se muestra la evolución horaria de los flujos por las interconexiones.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000bdd040cf4e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e44078b91f145c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</w:pP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</w:tblGrid>
      <w:tr>
        <w:tc>
          <w:tcPr>
            <w:tcW w:w="2310" w:type="auto"/>
          </w:tcPr>
          <w:p>
            <w:pPr>
              <w:jc w:val="center"/>
            </w:pPr>
            <drawing xmlns="http://schemas.openxmlformats.org/wordprocessingml/2006/main">
              <wp:inline xmlns:wp="http://schemas.openxmlformats.org/drawingml/2006/wordprocessingDrawing" distT="0" distB="0" distL="0" distR="0">
                <wp:extent cx="5086350" cy="33909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e44078b91f145c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p>
        </w:tc>
      </w:tr>
    </w:tbl>
    <w:p>
      <w:pPr>
        <w:rPr>
          <w:rFonts/>
        </w:rPr>
        <w:jc w:val="center"/>
      </w:pPr>
      <w:r>
        <w:rPr>
          <w:sz w:val="18"/>
          <w:szCs w:val="18"/>
          <w:rFonts w:ascii="Arial" w:hAnsi="Arial" w:cs="Arial"/>
        </w:rPr>
        <w:t>Medido en las SS.EE.Tintaya y Puno</w:t>
      </w:r>
      <w:r>
        <w:br/>
      </w:r>
      <w:r>
        <w:rPr>
          <w:rFonts w:ascii="Arial" w:hAnsi="Arial" w:cs="Arial"/>
          <w:i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1.14. </w:t>
      </w:r>
      <w:r>
        <w:rPr>
          <w:sz w:val="22"/>
          <w:szCs w:val="22"/>
          <w:rFonts w:ascii="Arial" w:hAnsi="Arial" w:cs="Arial"/>
          <w:b/>
          <w:u w:val="single"/>
        </w:rPr>
        <w:t>Interconexiones Internacionales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PAÍS IMPORTADOR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PAÍS EXPORTADOR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EQUIPO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INICIO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FINAL</w:t>
            </w:r>
          </w:p>
        </w:tc>
        <w:tc>
          <w:tcPr>
            <w:tcW w:w="3000" w:type="dxa"/>
            <w:shd w:val="clear" w:color="auto" w:fill="DDDDDD"/>
            <w:vAlign w:val="center"/>
          </w:tcPr>
          <w:p>
            <w:pPr>
              <w:jc w:val="center"/>
            </w:pPr>
            <w:r>
              <w:rPr>
                <w:b/>
                <w:rFonts w:ascii="Arial" w:hAnsi="Arial" w:cs="Arial"/>
              </w:rPr>
              <w:t>OBSERVACIÓN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Ecuador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Perú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L-2280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22:41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24:00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Se transfirió la carga de 23,72 MW de la S.E. Zorritos al sistema de Ecuador.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2.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EVALUACIÓN ECONÓMICA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 xml:space="preserve">2.1. </w:t>
      </w:r>
      <w:r>
        <w:rPr>
          <w:sz w:val="22"/>
          <w:szCs w:val="22"/>
          <w:rFonts w:ascii="Arial" w:hAnsi="Arial" w:cs="Arial"/>
          <w:b/>
          <w:u w:val="single"/>
        </w:rPr>
        <w:t>COSTO TOTAL DE LA OPERACIÓN POR DÍA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El costo total de la operación ejecutado fue S /. 5160846 y resultó S /. 2941707(36.31 %) menor que el correspondiente al martes de la semana pasada.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3.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OBSERVACIONES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3.1 Los datos utilizados en los numerales 1.1.1, 1.1.2, 1.1.3, 1.1.4, 1.2, 1.3, 1.8.3.B y 1.12 provienen de datos instantáneos del sistema SCADA de las Empresas.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3.2 El informe incluye los siguientes anexos: Generación ejecutada activa y reactiva, desviación del despacho de las centrales, información hidrológica, compromisos y transferencias por RPF, demandas por áreas operativas, stock y consumo de combustibles sólidos, líquidos y gaseosos.Además los reportes de Horas de operación de las unidades térmicas y de mantenimientos ejecutados.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  <w:color w:val="FF0000"/>
        </w:rPr>
        <w:t xml:space="preserve">4. </w:t>
      </w:r>
      <w:r>
        <w:rPr>
          <w:sz w:val="24"/>
          <w:szCs w:val="24"/>
          <w:rFonts w:ascii="Arial" w:hAnsi="Arial" w:cs="Arial"/>
          <w:b/>
          <w:color w:val="FF0000"/>
          <w:u w:val="single"/>
        </w:rPr>
        <w:t>ANEXOS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1: Resumen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 RESUMEN - Resumen de generación de energía eléctrica por Empresas Integrantes del COES.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 G_AREAS - Generación por tipo de generación por áreas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1.3 GENERACION RER -Generación eléctrica de las centrales RER(MW).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1.4 COGENERACION - Centrales de Cogeneración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1.5 TIPO_RECURSO – Reporte de potencia generada por tipo de recurso.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1.6 DESPACHO_EJECUTADO - Potencia activa ejecutada de las unidades de generación del SEIN(MW).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1.7 PROGRAMADO - 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1.8 REPROGRAMADO - Reprogramación diaria.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1.9 DESVIACIÓN - Desviación del despacho de las centrales de generación COES(MW).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1.10 REACTIVA - Potencia reactiva ejecutada de las unidades de generación del COES(MVAR).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1.11 DEMANDA_UL - Potencia de los grandes Usuarios Libres(MW).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1.12 DEMANDA_AREAS - Reporte de la demanda por áreas y sub - áreas operativas(MW).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1.13 FLUJOS - Potencia activa líneas de transmisión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1.14 INTERCONEXIONES - Interconexión entre sistemas operativos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1.15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1.16 ENERGÍA_PRIMARIA – Reporte de fuente de Energía Primaria de las unidades RER.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1.17 CALOR_ÚTIL – Registro de Calor Útil.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1.18 STOCK_COMB - Reporte de stock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1.19 CONSUMO_COMB - Reporte de consumo de combustibles.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1.20 PRESIÓN_GAS - Presiones de gas natural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1.21 TEMP_AMB - Temperatura Ambiente de las centrales termoeléctricas.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1.22 DISPONIBILIDAD_GAS – Reporte de disponibilidad de Gas Natural.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1.23 TRANSGRESIONES – Reporte de GPS.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1.24 RESTRIC_OPE - Restricciones Operativas.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2: Hidrología de la operación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2.1 Principales caudales de los principales afluentes y volúmenes de embalses y reservorios.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2.2 Vertimientos de Embalses.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2.3 Descarga de Lagunas.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3: Asignación de reserva Primaria y secundaria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4: Horas de operación de las unidades térmicas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5: Mantenimientos ejecutados del SEIN.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  <w:b/>
        </w:rPr>
        <w:t>Anexo 6: Costo Marginal de Corto Plazo del SEIN.</w:t>
      </w:r>
      <w:r>
        <w:br/>
      </w:r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ELABORADO POR: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APROBADO POR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 xml:space="preserve">Ing. Edgar Egúsquiza 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Ing. Jorge Izquierdo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ESPECIALISTA DE LA SUBDIRECCIÓN DE GESTIÓN DE LA INFORMACIÓN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Arial" w:hAnsi="Arial" w:cs="Arial"/>
              </w:rPr>
              <w:t>SUBDIRECTOR DE GESTIÓN DE LA INFORMACIÓN</w:t>
            </w:r>
          </w:p>
        </w:tc>
      </w:tr>
    </w:tbl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 xml:space="preserve"> Hora de emisión del informe: 12:36 h.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Fecha: 28.08.2023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Difusión: SGI, SEV, SPR, SME, SCO, SNP, SPL, DP, DO, CC - INTEGRANTES.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NOTA1: Las siglas utilizadas en el presente documento están de acuerdo a la 'Base Metodológica para la Aplicación de la Norma Técnica de Calidad de los Servicios Eléctricos'.</w:t>
      </w:r>
      <w:r>
        <w:br/>
      </w:r>
      <w:r>
        <w:rPr>
          <w:rFonts w:ascii="Arial" w:hAnsi="Arial" w:cs="Arial"/>
        </w:rPr>
        <w:t xml:space="preserve"> </w:t>
      </w:r>
    </w:p>
    <w:p>
      <w:pPr>
        <w:rPr>
          <w:rFonts/>
        </w:rPr>
      </w:pPr>
      <w:r>
        <w:rPr>
          <w:sz w:val="22"/>
          <w:szCs w:val="22"/>
          <w:rFonts w:ascii="Arial" w:hAnsi="Arial" w:cs="Arial"/>
        </w:rPr>
        <w:t>NOTA2: Para el cálculo de la demanda del COES, se considera solo la generación de los Integrantes del COES.</w:t>
      </w:r>
      <w:r>
        <w:br/>
      </w:r>
      <w:r>
        <w:rPr>
          <w:rFonts w:ascii="Arial" w:hAnsi="Arial" w:cs="Arial"/>
        </w:rPr>
        <w:t xml:space="preserve">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700" w:type="dxa"/>
          <w:vAlign w:val="center"/>
        </w:tcPr>
        <w:p>
          <w:pPr/>
          <w:r>
            <w:rPr>
              <w:rFonts w:ascii="Arial" w:hAnsi="Arial" w:cs="Arial"/>
              <w:b/>
              <w:sz w:val="16"/>
              <w:szCs w:val="16"/>
            </w:rPr>
            <w:t>SEMANA 22</w:t>
          </w:r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de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Normal"/>
      <w:tblW w:w="5000" w:type="auto"/>
      <w:tblLook w:val="04A0"/>
      <w:tblLayout w:type="fixed"/>
    </w:tblPr>
    <w:tblGrid>
      <w:gridCol w:w="2310"/>
      <w:gridCol w:w="2310"/>
    </w:tblGrid>
    <w:tr>
      <w:tc>
        <w:tcPr>
          <w:tcW w:w="5250" w:type="dxa"/>
          <w:vAlign w:val="top"/>
        </w:tcPr>
        <w:p>
          <w:pPr/>
        </w:p>
      </w:tc>
      <w:tc>
        <w:tcPr>
          <w:tcW w:w="4500" w:type="dxa"/>
          <w:vAlign w:val="center"/>
        </w:tcPr>
        <w:p>
          <w:pPr>
            <w:jc w:val="right"/>
          </w:pPr>
          <w:r>
            <w:rPr>
              <w:rFonts w:ascii="Arial" w:hAnsi="Arial" w:cs="Arial"/>
              <w:b/>
              <w:sz w:val="18"/>
              <w:szCs w:val="18"/>
            </w:rPr>
            <w:t>Subdirección de Gestión de la Información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IEOD N.°  152/2023</w:t>
          </w:r>
          <w:r>
            <w:br/>
          </w:r>
          <w:r>
            <w:rPr>
              <w:rFonts w:ascii="Arial" w:hAnsi="Arial" w:cs="Arial"/>
              <w:b/>
              <w:sz w:val="18"/>
              <w:szCs w:val="18"/>
            </w:rPr>
            <w:t>01/06/2023</w:t>
          </w:r>
          <w:r>
            <w:br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185aaf98f24482" /><Relationship Type="http://schemas.openxmlformats.org/officeDocument/2006/relationships/numbering" Target="/word/numbering.xml" Id="R198a0dc9118643a5" /><Relationship Type="http://schemas.openxmlformats.org/officeDocument/2006/relationships/settings" Target="/word/settings.xml" Id="R01b2912111a340b8" /><Relationship Type="http://schemas.openxmlformats.org/officeDocument/2006/relationships/header" Target="/word/header1.xml" Id="R9ba0615c63904690" /><Relationship Type="http://schemas.openxmlformats.org/officeDocument/2006/relationships/header" Target="/word/header2.xml" Id="R831e2c06f13a44ff" /><Relationship Type="http://schemas.openxmlformats.org/officeDocument/2006/relationships/header" Target="/word/header3.xml" Id="R2dc62d826ebe4c47" /><Relationship Type="http://schemas.openxmlformats.org/officeDocument/2006/relationships/footer" Target="/word/footer1.xml" Id="R277db30e3667474e" /><Relationship Type="http://schemas.openxmlformats.org/officeDocument/2006/relationships/footer" Target="/word/footer2.xml" Id="R7dc17280941a46a8" /><Relationship Type="http://schemas.openxmlformats.org/officeDocument/2006/relationships/footer" Target="/word/footer3.xml" Id="Rac0475bf17824fe5" /><Relationship Type="http://schemas.openxmlformats.org/officeDocument/2006/relationships/image" Target="/word/media/3a44f82f-cf7f-4ff3-8e63-7a5ec1cc0e08.png" Id="Rd7d7f687c05d4872" /><Relationship Type="http://schemas.openxmlformats.org/officeDocument/2006/relationships/image" Target="/word/media/f2e81cbd-cf49-4b84-b011-65fd81d18acc.png" Id="R6876c62e6e094015" /><Relationship Type="http://schemas.openxmlformats.org/officeDocument/2006/relationships/image" Target="/word/media/060b9e4a-f1c9-4557-a973-954145cd01e0.png" Id="R75ca5a5c1f1849a3" /><Relationship Type="http://schemas.openxmlformats.org/officeDocument/2006/relationships/image" Target="/word/media/aa2b08ab-b0d6-44f3-94e9-187b6ecff038.png" Id="R4473256e007e433d" /><Relationship Type="http://schemas.openxmlformats.org/officeDocument/2006/relationships/image" Target="/word/media/cfe9a6ad-0aac-44bc-aabd-b5df388e3d02.png" Id="R1741663eaf2b4080" /><Relationship Type="http://schemas.openxmlformats.org/officeDocument/2006/relationships/image" Target="/word/media/c15deb12-0bad-46f1-821d-ff1bea3036cd.png" Id="R86c72480a5744463" /><Relationship Type="http://schemas.openxmlformats.org/officeDocument/2006/relationships/image" Target="/word/media/0fc31d6a-ca89-4762-81c9-43dd262f49f4.png" Id="Rfaec255d03f744ca" /><Relationship Type="http://schemas.openxmlformats.org/officeDocument/2006/relationships/image" Target="/word/media/24ebbc1a-2d76-4095-9ada-4e0e58c77981.png" Id="R5d3c276bf6114c62" /><Relationship Type="http://schemas.openxmlformats.org/officeDocument/2006/relationships/image" Target="/word/media/aec4971d-e761-4676-a65d-6492f882e215.png" Id="Rb5ae1e0542f0497a" /><Relationship Type="http://schemas.openxmlformats.org/officeDocument/2006/relationships/image" Target="/word/media/0cc69848-c202-4bd9-b06b-f924c94be323.png" Id="R5000bdd040cf4e4e" /><Relationship Type="http://schemas.openxmlformats.org/officeDocument/2006/relationships/image" Target="/word/media/8b395cc5-de2d-4f02-b276-34a3167f7f97.png" Id="Rce44078b91f145ca" /></Relationships>
</file>