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6851d9860a4c0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2400" w:right="1140" w:bottom="1440" w:left="1140" w:header="708" w:footer="708" w:gutter="0"/>
      <w:cols w:space="708"/>
      <w:docGrid w:linePitch="360"/>
      <w:headerReference w:type="default" r:id="R7600770ee395493a"/>
      <w:headerReference w:type="even" r:id="R6689689b2f2947e2"/>
      <w:headerReference w:type="first" r:id="R16f828dd9a084612"/>
      <w:footerReference w:type="default" r:id="R2626560f8be04022"/>
      <w:footerReference w:type="even" r:id="R948c8f3454f740b4"/>
      <w:footerReference w:type="first" r:id="R016e49b8160f4888"/>
    </w:sectPr>
    <w:p>
      <w:pPr>
        <w:jc w:val="center"/>
      </w:pPr>
      <w:r>
        <w:rPr>
          <w:rFonts w:ascii="Arial" w:hAnsi="Arial" w:cs="Arial"/>
          <w:b/>
          <w:sz w:val="22"/>
          <w:szCs w:val="22"/>
        </w:rPr>
        <w:br/>
      </w:r>
      <w:r>
        <w:rPr>
          <w:rFonts w:ascii="Arial" w:hAnsi="Arial" w:cs="Arial"/>
          <w:b/>
          <w:sz w:val="22"/>
          <w:szCs w:val="22"/>
        </w:rPr>
        <w:t>INFORME SEMANAL</w:t>
      </w:r>
      <w:r>
        <w:rPr>
          <w:rFonts w:ascii="Arial" w:hAnsi="Arial" w:cs="Arial"/>
          <w:b/>
          <w:sz w:val="22"/>
          <w:szCs w:val="22"/>
        </w:rPr>
        <w:br/>
      </w:r>
      <w:r>
        <w:rPr>
          <w:rFonts w:ascii="Arial" w:hAnsi="Arial" w:cs="Arial"/>
          <w:b/>
          <w:sz w:val="22"/>
          <w:szCs w:val="22"/>
        </w:rPr>
        <w:t>OPERACIÓN DE INTERCAMBIOS DE ELECTRICIDAD</w:t>
      </w:r>
      <w:r>
        <w:rPr>
          <w:rFonts w:ascii="Arial" w:hAnsi="Arial" w:cs="Arial"/>
          <w:b/>
          <w:sz w:val="22"/>
          <w:szCs w:val="22"/>
        </w:rPr>
        <w:br/>
      </w:r>
      <w:r>
        <w:rPr>
          <w:rFonts w:ascii="Arial" w:hAnsi="Arial" w:cs="Arial"/>
          <w:b/>
          <w:sz w:val="22"/>
          <w:szCs w:val="22"/>
        </w:rPr>
        <w:t>DEL 24 DE DICIEMBRE DE 2022 AL 30 DE DICIEMBRE DE 2022</w:t>
      </w:r>
      <w:r>
        <w:br/>
      </w:r>
      <w:r>
        <w:br/>
      </w:r>
    </w:p>
    <w:p>
      <w:pPr>
        <w:numPr>
          <w:ilvl w:val="0"/>
          <w:numId w:val="1"/>
        </w:numPr>
      </w:pPr>
      <w:r>
        <w:rPr>
          <w:b/>
        </w:rPr>
        <w:t>ANTECEDENTES</w:t>
      </w:r>
    </w:p>
    <w:p>
      <w:pPr/>
    </w:p>
    <w:p>
      <w:pPr>
        <w:numPr>
          <w:ilvl w:val="1"/>
          <w:numId w:val="2"/>
        </w:numPr>
        <w:jc w:val="both"/>
      </w:pPr>
      <w:r>
        <w:rPr>
          <w:rFonts w:ascii="Arial" w:hAnsi="Arial" w:cs="Arial"/>
          <w:sz w:val="20"/>
          <w:szCs w:val="20"/>
        </w:rPr>
        <w:t>Mediante Decreto Supremo N°011-2012-EM del 06 de mayo 2012 se aprueba el Reglamento Interno para la Aplicación de la Decisión 757 de la CAN; así como mediante la Resolución OSINERGMIN N° 207-2013-OS/CD del 16 de octubre de 2013 se aprobó el Procedimiento Técnico del COES N°43 “Intercambios Internacionales de Electricidad en el Marco de la Decisión 757 de la CAN” (PR-43). Posteriormente mediante Resolución OSINERGMIN N° 244-2016-OS/CD del 04 de noviembre de 2016 se aprobó la modificatoria del Procedimiento Técnico del COES N° 43 (PR-43).</w:t>
      </w:r>
    </w:p>
    <w:p>
      <w:pPr/>
    </w:p>
    <w:p>
      <w:pPr>
        <w:numPr>
          <w:ilvl w:val="1"/>
          <w:numId w:val="2"/>
        </w:numPr>
        <w:jc w:val="both"/>
      </w:pPr>
      <w:r>
        <w:rPr>
          <w:rFonts w:ascii="Arial" w:hAnsi="Arial" w:cs="Arial"/>
          <w:sz w:val="20"/>
          <w:szCs w:val="20"/>
        </w:rPr>
        <w:t>En el marco de las Decisiones 578, 757 y 789 de la Comunidad Andina de Naciones, el Decreto Supremo N°011-12-EM emitido en Perú, la Regulación ARCONEL 002/15 emitida en Ecuador y el PR-43, se suscribieron los contratos marco de exportación e importación de electricidad entre las empresas eléctricas cuyos contratos vigentes a la fecha son los siguientes.
i)	“ENGIE Energía Perú S. A.” y “Empresa Pública Estratégica Corporación Eléctrica del Ecuador CELEC-EP” fue suscrito el 05 de mayo del 2016. Se indica que se suscribieron las siguientes adendas al contrato de fechas:
A partir del 01 de enero de 2019 se encuentra vigente la Primera Adenda del contrato marco de exportación de electricidad de ENGIE S.A. a CELEC EP. A partir del 01 de enero de 2021 se encuentra vigente su Segunda Adenda. Posteriormente, suscribieron la Tercera y Cuarta Adenda que se encuentran vigentes desde el 01 de enero de 2022.
ii)	“EDEGEL S.A.A.” (Actualmente “ENEL Generación Perú S.A.A.”) y “Corporación Eléctrica del Ecuador CELEC-EP” fue suscrito el 22 de julio del 2016.
A partir del 01 de enero de 2019 se suscribe la Primera y Segunda Adenda del contrato marco de exportación de electricidad de CELEC EP Y EGPERU por un periodo de 2 años. Luego con la Segunda Adenda al contrato marco de exportación de electricidad CELEC EP y EGPERU realizan la extensión del contrato hasta el 31 de diciembre de 2021. Posteriormente, suscriben la Tercera Adenda al contrato de exportación de electricidad estando vigente a partir de enero de 2022.
iii)	“FÉNIX POWER PERÚ S.A.” y “Empresa Pública Estratégica Corporación Eléctrica del Ecuador CELEC-EP” fue suscrito el 19 de octubre del 2018.
A partir del 01 de enero de 2019 se suscribe la Primera y Segunda Adenda del contrato marco de exportación de electricidad de CELEC EP Y FENIX POWER por un periodo de 2 años. Posteriormente, suscriben la Tercera Adenda al contrato de exportación de electricidad estando vigente a partir de enero de 2022 con una duración de dos años.
iv)	“KALLPA GENERACIÓN S.A.” y “Empresa Pública Estratégica Corporación Eléctrica del Ecuador CELEC-EP” fue suscrito el 10 de agosto del 2016.
</w:t>
      </w:r>
    </w:p>
    <w:p>
      <w:pPr/>
    </w:p>
    <w:p>
      <w:pPr>
        <w:numPr>
          <w:ilvl w:val="1"/>
          <w:numId w:val="2"/>
        </w:numPr>
        <w:jc w:val="both"/>
      </w:pPr>
      <w:r>
        <w:rPr>
          <w:rFonts w:ascii="Arial" w:hAnsi="Arial" w:cs="Arial"/>
          <w:sz w:val="20"/>
          <w:szCs w:val="20"/>
        </w:rPr>
        <w:t>La máxima demanda diaria prevista para la exportación es determinada de acuerdo con lo establecido en el Procedimiento Técnico del COES N°43.</w:t>
      </w:r>
    </w:p>
    <w:p>
      <w:pPr/>
    </w:p>
    <w:p>
      <w:pPr>
        <w:numPr>
          <w:ilvl w:val="0"/>
          <w:numId w:val="1"/>
        </w:numPr>
      </w:pPr>
      <w:r>
        <w:rPr>
          <w:b/>
        </w:rPr>
        <w:t>OBJETIVO</w:t>
      </w:r>
    </w:p>
    <w:p>
      <w:pPr/>
    </w:p>
    <w:p>
      <w:pPr>
        <w:jc w:val="both"/>
        <w:ind w:left="398.99999320507"/>
      </w:pPr>
      <w:r>
        <w:rPr>
          <w:rFonts w:ascii="Arial" w:hAnsi="Arial" w:cs="Arial"/>
          <w:sz w:val="20"/>
          <w:szCs w:val="20"/>
        </w:rPr>
        <w:t>Evidenciar la priorización del abastecimiento de electricidad al mercado interno durante la semana en evaluación (semana operativa 52 - 2022), considerando el Intercambio de Electricidad entre los sistemas eléctricos de Perú y Ecuador, en cumplimiento con lo establecido en el PR-43</w:t>
      </w:r>
    </w:p>
    <w:p>
      <w:pPr/>
      <w:r>
        <w:br/>
      </w:r>
    </w:p>
    <w:p>
      <w:pPr/>
    </w:p>
    <w:p>
      <w:pPr>
        <w:numPr>
          <w:ilvl w:val="0"/>
          <w:numId w:val="1"/>
        </w:numPr>
      </w:pPr>
      <w:r>
        <w:rPr>
          <w:b/>
        </w:rPr>
        <w:t>BASE LEGAL</w:t>
      </w:r>
    </w:p>
    <w:p>
      <w:pPr/>
      <w:r>
        <w:br/>
      </w:r>
    </w:p>
    <w:p>
      <w:pPr>
        <w:numPr>
          <w:ilvl w:val="1"/>
          <w:numId w:val="3"/>
        </w:numPr>
        <w:jc w:val="both"/>
      </w:pPr>
      <w:r>
        <w:rPr>
          <w:rFonts w:ascii="Arial" w:hAnsi="Arial" w:cs="Arial"/>
          <w:sz w:val="20"/>
          <w:szCs w:val="20"/>
        </w:rPr>
        <w:t>Decisión 757 de la Comunidad Andina, referida a la Vigencia de la Decisión 536 “Marco General para la Interconexión Subregional de Sistemas Eléctricos e Intercambio Intracomunitario de Electricidad”.</w:t>
      </w:r>
    </w:p>
    <w:p>
      <w:pPr/>
    </w:p>
    <w:p>
      <w:pPr>
        <w:numPr>
          <w:ilvl w:val="1"/>
          <w:numId w:val="3"/>
        </w:numPr>
        <w:jc w:val="both"/>
      </w:pPr>
      <w:r>
        <w:rPr>
          <w:rFonts w:ascii="Arial" w:hAnsi="Arial" w:cs="Arial"/>
          <w:sz w:val="20"/>
          <w:szCs w:val="20"/>
        </w:rPr>
        <w:t>Decreto Supremo N°011-2012-EM. Reglamento Interno para la Aplicación de la Decisión 757 de la CAN. En el numeral 3.5.</w:t>
      </w:r>
    </w:p>
    <w:p>
      <w:pPr/>
    </w:p>
    <w:p>
      <w:pPr>
        <w:numPr>
          <w:ilvl w:val="1"/>
          <w:numId w:val="3"/>
        </w:numPr>
        <w:jc w:val="both"/>
      </w:pPr>
      <w:r>
        <w:rPr>
          <w:rFonts w:ascii="Arial" w:hAnsi="Arial" w:cs="Arial"/>
          <w:sz w:val="20"/>
          <w:szCs w:val="20"/>
        </w:rPr>
        <w:t>Procedimiento Técnico del COES N°43 “Intercambios Internacionales de Electricidad en el Marco de la Decisión 757 de la CAN”.</w:t>
      </w:r>
    </w:p>
    <w:p>
      <w:pPr/>
    </w:p>
    <w:p>
      <w:pPr/>
    </w:p>
    <w:p>
      <w:pPr>
        <w:numPr>
          <w:ilvl w:val="0"/>
          <w:numId w:val="1"/>
        </w:numPr>
      </w:pPr>
      <w:r>
        <w:rPr>
          <w:b/>
        </w:rPr>
        <w:t>EVALUACIÓN DE LA OPERACIÓN DE INTERCAMBIO DE ELECTRICIDAD</w:t>
      </w:r>
    </w:p>
    <w:p>
      <w:pPr/>
      <w:r>
        <w:br/>
      </w:r>
    </w:p>
    <w:p>
      <w:pPr>
        <w:numPr>
          <w:ilvl w:val="1"/>
          <w:numId w:val="4"/>
        </w:numPr>
        <w:jc w:val="both"/>
      </w:pPr>
      <w:r>
        <w:rPr>
          <w:rFonts w:ascii="Arial" w:hAnsi="Arial" w:cs="Arial"/>
          <w:sz w:val="20"/>
          <w:szCs w:val="20"/>
          <w:b/>
        </w:rPr>
        <w:t>PROGRAMA DE OPERACIÓN DIARIA.</w:t>
      </w:r>
    </w:p>
    <w:p>
      <w:pPr/>
    </w:p>
    <w:p>
      <w:pPr>
        <w:jc w:val="both"/>
      </w:pPr>
      <w:r>
        <w:t>Durante la semana operativa N° 52, los programas diarios de Operación (PDO), en los cuales fue programado el Intercambio de Electricidad entre el SEIN y el Sistema Ecuatoriano, no contienen en ningún caso programación de restricciones de suministro en el SEIN a consecuencia de dicha interconexión, los referidos programas diarios se encuentran publicados en el portal del COES:
</w:t>
      </w:r>
      <w:r>
        <w:br/>
      </w:r>
      <w:r>
        <w:br/>
      </w:r>
    </w:p>
    <w:p>
      <w:pPr/>
      <w:hyperlink r:id="R659c0d6d18b04223" w:history="1">
        <w:r>
          <w:rPr>
            <w:rStyle w:val="Hyperlink"/>
          </w:rPr>
          <w:t>http://www.coes.org.pe/Portal/Operacion/ProgOperacion/ProgramaDiario</w:t>
        </w:r>
      </w:hyperlink>
      <w:r>
        <w:br/>
      </w:r>
    </w:p>
    <w:p>
      <w:pPr/>
      <w:r>
        <w:br/>
      </w:r>
    </w:p>
    <w:p>
      <w:pPr>
        <w:numPr>
          <w:ilvl w:val="1"/>
          <w:numId w:val="4"/>
        </w:numPr>
        <w:jc w:val="both"/>
      </w:pPr>
      <w:r>
        <w:rPr>
          <w:rFonts w:ascii="Arial" w:hAnsi="Arial" w:cs="Arial"/>
          <w:sz w:val="20"/>
          <w:szCs w:val="20"/>
          <w:b/>
        </w:rPr>
        <w:t>RESTRICCIÓN DE SUMINISTRO ELÉCTRICO POR DÉFICIT DE GENERACIÓN </w:t>
      </w:r>
    </w:p>
    <w:p>
      <w:pPr/>
    </w:p>
    <w:p>
      <w:pPr>
        <w:jc w:val="both"/>
      </w:pPr>
      <w:r>
        <w:t>Durante la exportación de electricidad de Ecuador de la semana operativa N° 52, no se registraron cortes de suministro a la demanda del mercado interno (SEIN) debidos a déficit de generación. Esta información puede ser corroborada en el Informe diario de evaluación de la operación del Coordinador de la Operación del Sistema (IDCOS) y en el Informe de evaluación de la operación diaria (IEOD), publicados en el portal web del COES:
</w:t>
      </w:r>
      <w:r>
        <w:br/>
      </w:r>
    </w:p>
    <w:p>
      <w:pPr/>
      <w:hyperlink r:id="R6de10e491d3f4cec" w:history="1">
        <w:r>
          <w:rPr>
            <w:rStyle w:val="Hyperlink"/>
          </w:rPr>
          <w:t>https://www.coes.org.pe/Portal/PostOperacion/Reportes/Idcos</w:t>
        </w:r>
      </w:hyperlink>
      <w:r>
        <w:br/>
      </w:r>
    </w:p>
    <w:p>
      <w:pPr/>
      <w:hyperlink r:id="R6de10e491d3f4cec" w:history="1">
        <w:r>
          <w:rPr>
            <w:rStyle w:val="Hyperlink"/>
          </w:rPr>
          <w:t>https://www.coes.org.pe/Portal/PostOperacion/Reportes/Ieod</w:t>
        </w:r>
      </w:hyperlink>
      <w:r>
        <w:br/>
      </w:r>
    </w:p>
    <w:p>
      <w:pPr/>
      <w:r>
        <w:br/>
      </w:r>
    </w:p>
    <w:p>
      <w:pPr>
        <w:numPr>
          <w:ilvl w:val="1"/>
          <w:numId w:val="4"/>
        </w:numPr>
        <w:jc w:val="both"/>
      </w:pPr>
      <w:r>
        <w:rPr>
          <w:rFonts w:ascii="Arial" w:hAnsi="Arial" w:cs="Arial"/>
          <w:sz w:val="20"/>
          <w:szCs w:val="20"/>
          <w:b/>
        </w:rPr>
        <w:t>PERTURBACIONES RELACIONADAS CON LA INTERCONEXIÓN</w:t>
      </w:r>
    </w:p>
    <w:p>
      <w:pPr/>
    </w:p>
    <w:p>
      <w:pPr/>
      <w:r>
        <w:t>No se presentaron perturbaciones.</w:t>
      </w:r>
      <w:r>
        <w:br/>
      </w:r>
    </w:p>
    <w:p>
      <w:pPr>
        <w:numPr>
          <w:ilvl w:val="0"/>
          <w:numId w:val="1"/>
        </w:numPr>
      </w:pPr>
      <w:r>
        <w:rPr>
          <w:b/>
        </w:rPr>
        <w:t>EVOLUCIÓN DEL INTERCAMBIO DE POTENCIA Y ENERGIA ENTRE PERU y ECUADOR.</w:t>
      </w:r>
    </w:p>
    <w:p>
      <w:pPr/>
    </w:p>
    <w:p>
      <w:pPr>
        <w:jc w:val="both"/>
      </w:pPr>
      <w:r>
        <w:br/>
      </w:r>
      <w:r>
        <w:t>Durante la semana operativa en evaluación, hubo exportación de electricidad proveniente del Ecuador. Dicha exportación permitió atender la carga de la subestación Machala en los siguientes periodos:</w:t>
      </w:r>
      <w:r>
        <w:br/>
      </w:r>
    </w:p>
    <w:tbl>
      <w:tblPr>
        <w:tblStyle w:val="TableGrid"/>
        <w:tblW w:w="5000" w:type="auto"/>
        <w:tblLook w:val="04A0"/>
        <w:jc w:val="center"/>
      </w:tblPr>
      <w:tblGrid>
        <w:gridCol w:w="2310"/>
        <w:gridCol w:w="2310"/>
        <w:gridCol w:w="2310"/>
        <w:gridCol w:w="2310"/>
        <w:gridCol w:w="2310"/>
        <w:gridCol w:w="2310"/>
        <w:gridCol w:w="2310"/>
      </w:tblGrid>
      <w:tr>
        <w:tc>
          <w:tcPr>
            <w:tcW w:w="2310" w:type="auto"/>
            <w:vAlign w:val="center"/>
            <w:shd w:val="clear" w:color="auto" w:fill="D3D3D3"/>
          </w:tcPr>
          <w:p>
            <w:pPr>
              <w:jc w:val="center"/>
            </w:pPr>
            <w:r>
              <w:rPr>
                <w:sz w:val="18"/>
                <w:szCs w:val="18"/>
                <w:rFonts w:ascii="Calibri" w:hAnsi="Calibri" w:cs="Calibri"/>
                <w:b/>
              </w:rPr>
              <w:t>Fecha</w:t>
            </w:r>
          </w:p>
        </w:tc>
        <w:tc>
          <w:tcPr>
            <w:tcW w:w="2310" w:type="auto"/>
            <w:vAlign w:val="center"/>
            <w:shd w:val="clear" w:color="auto" w:fill="D3D3D3"/>
          </w:tcPr>
          <w:p>
            <w:pPr>
              <w:jc w:val="center"/>
            </w:pPr>
            <w:r>
              <w:rPr>
                <w:sz w:val="18"/>
                <w:szCs w:val="18"/>
                <w:rFonts w:ascii="Calibri" w:hAnsi="Calibri" w:cs="Calibri"/>
                <w:b/>
              </w:rPr>
              <w:t>Inicio</w:t>
            </w:r>
          </w:p>
        </w:tc>
        <w:tc>
          <w:tcPr>
            <w:tcW w:w="2310" w:type="auto"/>
            <w:vAlign w:val="center"/>
            <w:shd w:val="clear" w:color="auto" w:fill="D3D3D3"/>
          </w:tcPr>
          <w:p>
            <w:pPr>
              <w:jc w:val="center"/>
            </w:pPr>
            <w:r>
              <w:rPr>
                <w:sz w:val="18"/>
                <w:szCs w:val="18"/>
                <w:rFonts w:ascii="Calibri" w:hAnsi="Calibri" w:cs="Calibri"/>
                <w:b/>
              </w:rPr>
              <w:t>Fin</w:t>
            </w:r>
          </w:p>
        </w:tc>
        <w:tc>
          <w:tcPr>
            <w:tcW w:w="2310" w:type="auto"/>
            <w:vAlign w:val="center"/>
            <w:shd w:val="clear" w:color="auto" w:fill="D3D3D3"/>
          </w:tcPr>
          <w:p>
            <w:pPr>
              <w:jc w:val="center"/>
            </w:pPr>
            <w:r>
              <w:rPr>
                <w:sz w:val="18"/>
                <w:szCs w:val="18"/>
                <w:rFonts w:ascii="Calibri" w:hAnsi="Calibri" w:cs="Calibri"/>
                <w:b/>
              </w:rPr>
              <w:t xml:space="preserve">Energía </w:t>
            </w:r>
            <w:r>
              <w:rPr>
                <w:sz w:val="18"/>
                <w:szCs w:val="18"/>
                <w:rFonts w:ascii="Calibri" w:hAnsi="Calibri" w:cs="Calibri"/>
                <w:b/>
              </w:rPr>
              <w:br/>
            </w:r>
            <w:r>
              <w:rPr>
                <w:sz w:val="18"/>
                <w:szCs w:val="18"/>
                <w:rFonts w:ascii="Calibri" w:hAnsi="Calibri" w:cs="Calibri"/>
                <w:b/>
              </w:rPr>
              <w:t xml:space="preserve"> Exportada (MWh)</w:t>
            </w:r>
          </w:p>
        </w:tc>
        <w:tc>
          <w:tcPr>
            <w:tcW w:w="2310" w:type="auto"/>
            <w:vAlign w:val="center"/>
            <w:shd w:val="clear" w:color="auto" w:fill="D3D3D3"/>
          </w:tcPr>
          <w:p>
            <w:pPr>
              <w:jc w:val="center"/>
            </w:pPr>
            <w:r>
              <w:rPr>
                <w:sz w:val="18"/>
                <w:szCs w:val="18"/>
                <w:rFonts w:ascii="Calibri" w:hAnsi="Calibri" w:cs="Calibri"/>
                <w:b/>
              </w:rPr>
              <w:t xml:space="preserve">Máxima Potencia </w:t>
            </w:r>
            <w:r>
              <w:rPr>
                <w:sz w:val="18"/>
                <w:szCs w:val="18"/>
                <w:rFonts w:ascii="Calibri" w:hAnsi="Calibri" w:cs="Calibri"/>
                <w:b/>
              </w:rPr>
              <w:br/>
            </w:r>
            <w:r>
              <w:rPr>
                <w:sz w:val="18"/>
                <w:szCs w:val="18"/>
                <w:rFonts w:ascii="Calibri" w:hAnsi="Calibri" w:cs="Calibri"/>
                <w:b/>
              </w:rPr>
              <w:t xml:space="preserve"> Exportada (MW)</w:t>
            </w:r>
          </w:p>
        </w:tc>
        <w:tc>
          <w:tcPr>
            <w:tcW w:w="2310" w:type="auto"/>
            <w:vAlign w:val="center"/>
            <w:shd w:val="clear" w:color="auto" w:fill="D3D3D3"/>
          </w:tcPr>
          <w:p>
            <w:pPr>
              <w:jc w:val="center"/>
            </w:pPr>
            <w:r>
              <w:rPr>
                <w:sz w:val="18"/>
                <w:szCs w:val="18"/>
                <w:rFonts w:ascii="Calibri" w:hAnsi="Calibri" w:cs="Calibri"/>
                <w:b/>
              </w:rPr>
              <w:t xml:space="preserve">Energía </w:t>
            </w:r>
            <w:r>
              <w:rPr>
                <w:sz w:val="18"/>
                <w:szCs w:val="18"/>
                <w:rFonts w:ascii="Calibri" w:hAnsi="Calibri" w:cs="Calibri"/>
                <w:b/>
              </w:rPr>
              <w:br/>
            </w:r>
            <w:r>
              <w:rPr>
                <w:sz w:val="18"/>
                <w:szCs w:val="18"/>
                <w:rFonts w:ascii="Calibri" w:hAnsi="Calibri" w:cs="Calibri"/>
                <w:b/>
              </w:rPr>
              <w:t xml:space="preserve"> Importada (MWh)</w:t>
            </w:r>
          </w:p>
        </w:tc>
        <w:tc>
          <w:tcPr>
            <w:tcW w:w="2310" w:type="auto"/>
            <w:vAlign w:val="center"/>
            <w:shd w:val="clear" w:color="auto" w:fill="D3D3D3"/>
          </w:tcPr>
          <w:p>
            <w:pPr>
              <w:jc w:val="center"/>
            </w:pPr>
            <w:r>
              <w:rPr>
                <w:sz w:val="18"/>
                <w:szCs w:val="18"/>
                <w:rFonts w:ascii="Calibri" w:hAnsi="Calibri" w:cs="Calibri"/>
                <w:b/>
              </w:rPr>
              <w:t xml:space="preserve">Máxima Potencia </w:t>
            </w:r>
            <w:r>
              <w:rPr>
                <w:sz w:val="18"/>
                <w:szCs w:val="18"/>
                <w:rFonts w:ascii="Calibri" w:hAnsi="Calibri" w:cs="Calibri"/>
                <w:b/>
              </w:rPr>
              <w:br/>
            </w:r>
            <w:r>
              <w:rPr>
                <w:sz w:val="18"/>
                <w:szCs w:val="18"/>
                <w:rFonts w:ascii="Calibri" w:hAnsi="Calibri" w:cs="Calibri"/>
                <w:b/>
              </w:rPr>
              <w:t xml:space="preserve"> Importada (MW) </w:t>
            </w:r>
          </w:p>
        </w:tc>
      </w:tr>
      <w:tr>
        <w:tc>
          <w:tcPr>
            <w:tcW w:w="2310" w:type="auto"/>
          </w:tcPr>
          <w:p>
            <w:pPr/>
            <w:r>
              <w:rPr>
                <w:sz w:val="18"/>
                <w:szCs w:val="18"/>
                <w:rFonts w:ascii="Calibri" w:hAnsi="Calibri" w:cs="Calibri"/>
              </w:rPr>
              <w:t>29/12/2022</w:t>
            </w:r>
          </w:p>
        </w:tc>
        <w:tc>
          <w:tcPr>
            <w:tcW w:w="2310" w:type="auto"/>
          </w:tcPr>
          <w:p>
            <w:pPr/>
            <w:r>
              <w:rPr>
                <w:sz w:val="18"/>
                <w:szCs w:val="18"/>
                <w:rFonts w:ascii="Calibri" w:hAnsi="Calibri" w:cs="Calibri"/>
              </w:rPr>
              <w:t>29/12/2022 21:53:00</w:t>
            </w:r>
          </w:p>
        </w:tc>
        <w:tc>
          <w:tcPr>
            <w:tcW w:w="2310" w:type="auto"/>
          </w:tcPr>
          <w:p>
            <w:pPr/>
            <w:r>
              <w:rPr>
                <w:sz w:val="18"/>
                <w:szCs w:val="18"/>
                <w:rFonts w:ascii="Calibri" w:hAnsi="Calibri" w:cs="Calibri"/>
              </w:rPr>
              <w:t>30/12/2022 00:00:00</w:t>
            </w:r>
          </w:p>
        </w:tc>
        <w:tc>
          <w:tcPr>
            <w:tcW w:w="2310" w:type="auto"/>
          </w:tcPr>
          <w:p>
            <w:pPr/>
            <w:r>
              <w:rPr>
                <w:sz w:val="18"/>
                <w:szCs w:val="18"/>
                <w:rFonts w:ascii="Calibri" w:hAnsi="Calibri" w:cs="Calibri"/>
              </w:rPr>
              <w:t>62,367</w:t>
            </w:r>
          </w:p>
        </w:tc>
        <w:tc>
          <w:tcPr>
            <w:tcW w:w="2310" w:type="auto"/>
          </w:tcPr>
          <w:p>
            <w:pPr/>
            <w:r>
              <w:rPr>
                <w:sz w:val="18"/>
                <w:szCs w:val="18"/>
                <w:rFonts w:ascii="Calibri" w:hAnsi="Calibri" w:cs="Calibri"/>
              </w:rPr>
              <w:t>30,572</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r>
        <w:tc>
          <w:tcPr>
            <w:tcW w:w="2310" w:type="auto"/>
          </w:tcPr>
          <w:p>
            <w:pPr/>
            <w:r>
              <w:rPr>
                <w:sz w:val="18"/>
                <w:szCs w:val="18"/>
                <w:rFonts w:ascii="Calibri" w:hAnsi="Calibri" w:cs="Calibri"/>
              </w:rPr>
              <w:t>30/12/2022</w:t>
            </w:r>
          </w:p>
        </w:tc>
        <w:tc>
          <w:tcPr>
            <w:tcW w:w="2310" w:type="auto"/>
          </w:tcPr>
          <w:p>
            <w:pPr/>
            <w:r>
              <w:rPr>
                <w:sz w:val="18"/>
                <w:szCs w:val="18"/>
                <w:rFonts w:ascii="Calibri" w:hAnsi="Calibri" w:cs="Calibri"/>
              </w:rPr>
              <w:t>30/12/2022 22:08:00</w:t>
            </w:r>
          </w:p>
        </w:tc>
        <w:tc>
          <w:tcPr>
            <w:tcW w:w="2310" w:type="auto"/>
          </w:tcPr>
          <w:p>
            <w:pPr/>
            <w:r>
              <w:rPr>
                <w:sz w:val="18"/>
                <w:szCs w:val="18"/>
                <w:rFonts w:ascii="Calibri" w:hAnsi="Calibri" w:cs="Calibri"/>
              </w:rPr>
              <w:t>31/12/2022 00:00:00</w:t>
            </w:r>
          </w:p>
        </w:tc>
        <w:tc>
          <w:tcPr>
            <w:tcW w:w="2310" w:type="auto"/>
          </w:tcPr>
          <w:p>
            <w:pPr/>
            <w:r>
              <w:rPr>
                <w:sz w:val="18"/>
                <w:szCs w:val="18"/>
                <w:rFonts w:ascii="Calibri" w:hAnsi="Calibri" w:cs="Calibri"/>
              </w:rPr>
              <w:t>264,523</w:t>
            </w:r>
          </w:p>
        </w:tc>
        <w:tc>
          <w:tcPr>
            <w:tcW w:w="2310" w:type="auto"/>
          </w:tcPr>
          <w:p>
            <w:pPr/>
            <w:r>
              <w:rPr>
                <w:sz w:val="18"/>
                <w:szCs w:val="18"/>
                <w:rFonts w:ascii="Calibri" w:hAnsi="Calibri" w:cs="Calibri"/>
              </w:rPr>
              <w:t>29,340</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r>
        <w:tc>
          <w:tcPr>
            <w:tcW w:w="2310" w:type="auto"/>
          </w:tcPr>
          <w:p>
            <w:pPr/>
            <w:r>
              <w:rPr>
                <w:sz w:val="18"/>
                <w:szCs w:val="18"/>
                <w:rFonts w:ascii="Calibri" w:hAnsi="Calibri" w:cs="Calibri"/>
              </w:rPr>
              <w:t>30/12/2022</w:t>
            </w:r>
          </w:p>
        </w:tc>
        <w:tc>
          <w:tcPr>
            <w:tcW w:w="2310" w:type="auto"/>
          </w:tcPr>
          <w:p>
            <w:pPr/>
            <w:r>
              <w:rPr>
                <w:sz w:val="18"/>
                <w:szCs w:val="18"/>
                <w:rFonts w:ascii="Calibri" w:hAnsi="Calibri" w:cs="Calibri"/>
              </w:rPr>
              <w:t>30/12/2022 00:00:00</w:t>
            </w:r>
          </w:p>
        </w:tc>
        <w:tc>
          <w:tcPr>
            <w:tcW w:w="2310" w:type="auto"/>
          </w:tcPr>
          <w:p>
            <w:pPr/>
            <w:r>
              <w:rPr>
                <w:sz w:val="18"/>
                <w:szCs w:val="18"/>
                <w:rFonts w:ascii="Calibri" w:hAnsi="Calibri" w:cs="Calibri"/>
              </w:rPr>
              <w:t>30/12/2022 09:20:00</w:t>
            </w:r>
          </w:p>
        </w:tc>
        <w:tc>
          <w:tcPr>
            <w:tcW w:w="2310" w:type="auto"/>
          </w:tcPr>
          <w:p>
            <w:pPr/>
            <w:r>
              <w:rPr>
                <w:sz w:val="18"/>
                <w:szCs w:val="18"/>
                <w:rFonts w:ascii="Calibri" w:hAnsi="Calibri" w:cs="Calibri"/>
              </w:rPr>
              <w:t>264,523</w:t>
            </w:r>
          </w:p>
        </w:tc>
        <w:tc>
          <w:tcPr>
            <w:tcW w:w="2310" w:type="auto"/>
          </w:tcPr>
          <w:p>
            <w:pPr/>
            <w:r>
              <w:rPr>
                <w:sz w:val="18"/>
                <w:szCs w:val="18"/>
                <w:rFonts w:ascii="Calibri" w:hAnsi="Calibri" w:cs="Calibri"/>
              </w:rPr>
              <w:t>29,340</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bl>
    <w:p>
      <w:pPr>
        <w:jc w:val="both"/>
      </w:pPr>
      <w:r>
        <w:br/>
      </w:r>
      <w:r>
        <w:t xml:space="preserve">La Información de los contadores de energía remitida al COES por el titular de transmisión RED DE ENERGIA DEL PERÚ S. A., correspondiente al periodo del 24 de diciembre de 2022 al 30 de diciembre de 2022, se encuentran publicados en el portal web del COES, en la siguiente ruta: </w:t>
      </w:r>
      <w:r>
        <w:br/>
      </w:r>
    </w:p>
    <w:p>
      <w:pPr/>
      <w:r>
        <w:br/>
      </w:r>
      <w:hyperlink r:id="Rbfb8391037df44b1" w:history="1">
        <w:r>
          <w:rPr>
            <w:rStyle w:val="Hyperlink"/>
          </w:rPr>
          <w:t>https://www.coes.org.pe/Portal/Interconexiones/Reportes/MenuInterconexiones</w:t>
        </w:r>
      </w:hyperlink>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46f85918bfc430e"/>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1</w:t>
      </w:r>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58235575e5e4dd1"/>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2</w:t>
      </w:r>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ee9b0cf877d427c"/>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3</w:t>
      </w:r>
      <w:r>
        <w:br/>
      </w:r>
    </w:p>
    <w:p>
      <w:pPr>
        <w:numPr>
          <w:ilvl w:val="0"/>
          <w:numId w:val="1"/>
        </w:numPr>
      </w:pPr>
      <w:r>
        <w:rPr>
          <w:b/>
        </w:rPr>
        <w:t>CONCLUSIONES</w:t>
      </w:r>
    </w:p>
    <w:p>
      <w:pPr/>
    </w:p>
    <w:p>
      <w:pPr>
        <w:jc w:val="both"/>
        <w:ind w:left="398.99999320507"/>
      </w:pPr>
      <w:r>
        <w:rPr>
          <w:rFonts w:ascii="Arial" w:hAnsi="Arial" w:cs="Arial"/>
          <w:sz w:val="20"/>
          <w:szCs w:val="20"/>
        </w:rPr>
        <w:t>En la semana operativa N°52 - 2022, durante el periodo de exportación de energía eléctrica desde el sistema ecuatoriano al SEIN, no se registraron restricciones, ni cortes de suministro en el SEIN a consecuencia de dicho intercambio, con lo que se demuestra que se ha priorizado el abastecimiento de la demanda del mercado interno.</w:t>
      </w:r>
    </w:p>
    <w:p>
      <w:pPr/>
      <w:r>
        <w:br/>
      </w:r>
      <w:r>
        <w:br/>
      </w:r>
      <w:r>
        <w:br/>
      </w:r>
      <w:r>
        <w:br/>
      </w:r>
      <w:r>
        <w:br/>
      </w:r>
      <w:r>
        <w:br/>
      </w:r>
    </w:p>
    <w:p>
      <w:pPr>
        <w:jc w:val="right"/>
      </w:pPr>
      <w:r>
        <w:rPr>
          <w:sz w:val="20"/>
          <w:szCs w:val="20"/>
        </w:rPr>
        <w:t>San Isidro, 31 de Octubre del 2023</w:t>
      </w:r>
      <w:r>
        <w:br/>
      </w:r>
    </w:p>
    <w:tbl>
      <w:tblPr>
        <w:tblStyle w:val="TableGrid"/>
        <w:tblW w:w="5000" w:type="auto"/>
        <w:tblLook w:val="04A0"/>
        <w:jc w:val="center"/>
      </w:tblPr>
      <w:tblGrid>
        <w:gridCol w:w="2310"/>
        <w:gridCol w:w="2310"/>
        <w:gridCol w:w="2310"/>
        <w:gridCol w:w="2310"/>
        <w:gridCol w:w="2310"/>
        <w:gridCol w:w="2310"/>
      </w:tblGrid>
      <w:tr>
        <w:tc>
          <w:tcPr>
            <w:tcW w:w="2310" w:type="auto"/>
            <w:vAlign w:val="center"/>
            <w:shd w:val="clear" w:color="auto" w:fill="D3D3D3"/>
          </w:tcPr>
          <w:p>
            <w:pPr>
              <w:jc w:val="center"/>
            </w:pPr>
            <w:r>
              <w:rPr>
                <w:sz w:val="18"/>
                <w:szCs w:val="18"/>
                <w:rFonts w:ascii="Calibri" w:hAnsi="Calibri" w:cs="Calibri"/>
                <w:b/>
              </w:rPr>
              <w:t>Fecha</w:t>
            </w:r>
          </w:p>
        </w:tc>
        <w:tc>
          <w:tcPr>
            <w:tcW w:w="2310" w:type="auto"/>
            <w:vAlign w:val="center"/>
            <w:shd w:val="clear" w:color="auto" w:fill="D3D3D3"/>
          </w:tcPr>
          <w:p>
            <w:pPr>
              <w:jc w:val="center"/>
            </w:pPr>
            <w:r>
              <w:rPr>
                <w:sz w:val="18"/>
                <w:szCs w:val="18"/>
                <w:rFonts w:ascii="Calibri" w:hAnsi="Calibri" w:cs="Calibri"/>
                <w:b/>
              </w:rPr>
              <w:t>Rev.</w:t>
            </w:r>
          </w:p>
        </w:tc>
        <w:tc>
          <w:tcPr>
            <w:tcW w:w="2310" w:type="auto"/>
            <w:vAlign w:val="center"/>
            <w:shd w:val="clear" w:color="auto" w:fill="D3D3D3"/>
          </w:tcPr>
          <w:p>
            <w:pPr>
              <w:jc w:val="center"/>
            </w:pPr>
            <w:r>
              <w:rPr>
                <w:sz w:val="18"/>
                <w:szCs w:val="18"/>
                <w:rFonts w:ascii="Calibri" w:hAnsi="Calibri" w:cs="Calibri"/>
                <w:b/>
              </w:rPr>
              <w:t>Descripción</w:t>
            </w:r>
          </w:p>
        </w:tc>
        <w:tc>
          <w:tcPr>
            <w:tcW w:w="2310" w:type="auto"/>
            <w:vAlign w:val="center"/>
            <w:shd w:val="clear" w:color="auto" w:fill="D3D3D3"/>
          </w:tcPr>
          <w:p>
            <w:pPr>
              <w:jc w:val="center"/>
            </w:pPr>
            <w:r>
              <w:rPr>
                <w:sz w:val="18"/>
                <w:szCs w:val="18"/>
                <w:rFonts w:ascii="Calibri" w:hAnsi="Calibri" w:cs="Calibri"/>
                <w:b/>
              </w:rPr>
              <w:t>Elaboró</w:t>
            </w:r>
          </w:p>
        </w:tc>
        <w:tc>
          <w:tcPr>
            <w:tcW w:w="2310" w:type="auto"/>
            <w:vAlign w:val="center"/>
            <w:shd w:val="clear" w:color="auto" w:fill="D3D3D3"/>
          </w:tcPr>
          <w:p>
            <w:pPr>
              <w:jc w:val="center"/>
            </w:pPr>
            <w:r>
              <w:rPr>
                <w:sz w:val="18"/>
                <w:szCs w:val="18"/>
                <w:rFonts w:ascii="Calibri" w:hAnsi="Calibri" w:cs="Calibri"/>
                <w:b/>
              </w:rPr>
              <w:t>Revisó</w:t>
            </w:r>
          </w:p>
        </w:tc>
        <w:tc>
          <w:tcPr>
            <w:tcW w:w="2310" w:type="auto"/>
            <w:vAlign w:val="center"/>
            <w:shd w:val="clear" w:color="auto" w:fill="D3D3D3"/>
          </w:tcPr>
          <w:p>
            <w:pPr>
              <w:jc w:val="center"/>
            </w:pPr>
            <w:r>
              <w:rPr>
                <w:sz w:val="18"/>
                <w:szCs w:val="18"/>
                <w:rFonts w:ascii="Calibri" w:hAnsi="Calibri" w:cs="Calibri"/>
                <w:b/>
              </w:rPr>
              <w:t>Aprobó</w:t>
            </w:r>
          </w:p>
        </w:tc>
      </w:tr>
      <w:tr>
        <w:tc>
          <w:tcPr>
            <w:tcW w:w="2310" w:type="auto"/>
            <w:vAlign w:val="center"/>
          </w:tcPr>
          <w:p>
            <w:pPr>
              <w:jc w:val="center"/>
            </w:pPr>
            <w:r>
              <w:rPr>
                <w:sz w:val="18"/>
                <w:szCs w:val="18"/>
                <w:rFonts w:ascii="Calibri" w:hAnsi="Calibri" w:cs="Calibri"/>
              </w:rPr>
              <w:t>31/10/2023</w:t>
            </w:r>
          </w:p>
        </w:tc>
        <w:tc>
          <w:tcPr>
            <w:tcW w:w="2310" w:type="auto"/>
            <w:vAlign w:val="center"/>
          </w:tcPr>
          <w:p>
            <w:pPr>
              <w:jc w:val="center"/>
            </w:pPr>
            <w:r>
              <w:rPr>
                <w:sz w:val="18"/>
                <w:szCs w:val="18"/>
                <w:rFonts w:ascii="Calibri" w:hAnsi="Calibri" w:cs="Calibri"/>
              </w:rPr>
              <w:t>1</w:t>
            </w:r>
          </w:p>
        </w:tc>
        <w:tc>
          <w:tcPr>
            <w:tcW w:w="2310" w:type="auto"/>
            <w:vAlign w:val="center"/>
          </w:tcPr>
          <w:p>
            <w:pPr>
              <w:jc w:val="center"/>
            </w:pPr>
            <w:r>
              <w:rPr>
                <w:sz w:val="18"/>
                <w:szCs w:val="18"/>
                <w:rFonts w:ascii="Calibri" w:hAnsi="Calibri" w:cs="Calibri"/>
              </w:rPr>
              <w:t>Elaboración del Informe</w:t>
            </w:r>
          </w:p>
        </w:tc>
        <w:tc>
          <w:tcPr>
            <w:tcW w:w="2310" w:type="auto"/>
            <w:vAlign w:val="center"/>
          </w:tcPr>
          <w:p>
            <w:pPr>
              <w:jc w:val="center"/>
            </w:pPr>
          </w:p>
        </w:tc>
        <w:tc>
          <w:tcPr>
            <w:tcW w:w="2310" w:type="auto"/>
            <w:vAlign w:val="center"/>
          </w:tcPr>
          <w:p>
            <w:pPr>
              <w:jc w:val="center"/>
            </w:pPr>
          </w:p>
        </w:tc>
        <w:tc>
          <w:tcPr>
            <w:tcW w:w="2310" w:type="auto"/>
            <w:vAlign w:val="center"/>
          </w:tcPr>
          <w:p>
            <w:pPr>
              <w:jc w:val="center"/>
            </w:pPr>
          </w:p>
        </w:tc>
      </w:tr>
    </w:tbl>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tbl>
    <w:tblPr>
      <w:tblStyle w:val="TableNormal"/>
      <w:tblW w:w="5000" w:type="auto"/>
      <w:tblLook w:val="04A0"/>
      <w:tblLayout w:type="fixed"/>
    </w:tblPr>
    <w:tblGrid>
      <w:gridCol w:w="2310"/>
      <w:gridCol w:w="2310"/>
    </w:tblGrid>
    <w:tr>
      <w:tc>
        <w:tcPr>
          <w:tcW w:w="7500" w:type="dxa"/>
          <w:vAlign w:val="center"/>
        </w:tcPr>
        <w:p>
          <w:pPr/>
          <w:r>
            <w:rPr>
              <w:rFonts w:ascii="Verdana" w:hAnsi="Verdana" w:cs="Verdana"/>
              <w:sz w:val="12"/>
              <w:szCs w:val="12"/>
            </w:rPr>
            <w:br/>
          </w:r>
          <w:r>
            <w:rPr>
              <w:rFonts w:ascii="Verdana" w:hAnsi="Verdana" w:cs="Verdana"/>
              <w:sz w:val="12"/>
              <w:szCs w:val="12"/>
            </w:rPr>
            <w:t>INFORME SEMANAL DE LA OPERACIÓN DE INTERCAMBIO DE ELECTRICIDAD</w:t>
          </w:r>
          <w:r>
            <w:rPr>
              <w:rFonts w:ascii="Verdana" w:hAnsi="Verdana" w:cs="Verdana"/>
              <w:sz w:val="12"/>
              <w:szCs w:val="12"/>
            </w:rPr>
            <w:br/>
          </w:r>
          <w:r>
            <w:rPr>
              <w:rFonts w:ascii="Verdana" w:hAnsi="Verdana" w:cs="Verdana"/>
              <w:sz w:val="12"/>
              <w:szCs w:val="12"/>
            </w:rPr>
            <w:t>SEMANA OPERATIVA N° 52 DEL 24 DE DICIEMBRE DE 2022 AL 30 DE DICIEMBRE DE 2022</w:t>
          </w:r>
        </w:p>
      </w:tc>
      <w:tc>
        <w:tcPr>
          <w:tcW w:w="2250" w:type="dxa"/>
          <w:vAlign w:val="center"/>
        </w:tcPr>
        <w:p>
          <w:pPr>
            <w:jc w:val="right"/>
          </w:pPr>
          <w:fldSimple w:instr=" PAGE   \* MERGEFORMAT ">
            <w:r xmlns:w="http://schemas.openxmlformats.org/wordprocessingml/2006/main" w:rsidR="001D0226">
              <w:rPr>
                <w:noProof/>
              </w:rPr>
              <w:t>1</w:t>
            </w:r>
          </w:fldSimple>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auto"/>
      <w:tblLook w:val="04A0"/>
      <w:tblLayout w:type="fixed"/>
    </w:tblPr>
    <w:tblGrid>
      <w:gridCol w:w="2310"/>
      <w:gridCol w:w="2310"/>
      <w:gridCol w:w="2310"/>
    </w:tblGrid>
    <w:tr>
      <w:tc>
        <w:tcPr>
          <w:tcW w:w="2250" w:type="dxa"/>
          <w:vMerge w:val="restart"/>
          <w:vAlign w:val="center"/>
        </w:tcPr>
        <w:p>
          <w:pPr/>
          <drawing xmlns="http://schemas.openxmlformats.org/wordprocessingml/2006/main">
            <wp:inline xmlns:wp="http://schemas.openxmlformats.org/drawingml/2006/wordprocessingDrawing" distT="0" distB="0" distL="0" distR="0">
              <wp:extent cx="1285875" cy="66675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476a074115840cf"/>
                      <a:stretch>
                        <a:fillRect/>
                      </a:stretch>
                    </pic:blipFill>
                    <pic:spPr>
                      <a:xfrm>
                        <a:off x="0" y="0"/>
                        <a:ext cx="1285875" cy="666750"/>
                      </a:xfrm>
                      <a:prstGeom prst="rect">
                        <a:avLst/>
                      </a:prstGeom>
                    </pic:spPr>
                  </pic:pic>
                </a:graphicData>
              </a:graphic>
            </wp:inline>
          </drawing>
        </w:p>
      </w:tc>
      <w:tc>
        <w:tcPr>
          <w:tcW w:w="4500" w:type="dxa"/>
          <w:vMerge w:val="restart"/>
          <w:vAlign w:val="center"/>
        </w:tcPr>
        <w:p>
          <w:pPr>
            <w:jc w:val="center"/>
          </w:pPr>
          <w:r>
            <w:br/>
          </w:r>
          <w:r>
            <w:rPr>
              <w:rFonts w:ascii="Arial" w:hAnsi="Arial" w:cs="Arial"/>
              <w:b/>
              <w:sz w:val="18"/>
              <w:szCs w:val="18"/>
            </w:rPr>
            <w:t xml:space="preserve">OPERACIÓN DE INTERCAMBIOS DE ELECTRICIDAD SEMANA OPERATIVA </w:t>
          </w:r>
          <w:r>
            <w:rPr>
              <w:rFonts w:ascii="Arial" w:hAnsi="Arial" w:cs="Arial"/>
              <w:b/>
              <w:sz w:val="18"/>
              <w:szCs w:val="18"/>
            </w:rPr>
            <w:br/>
          </w:r>
          <w:r>
            <w:rPr>
              <w:rFonts w:ascii="Arial" w:hAnsi="Arial" w:cs="Arial"/>
              <w:b/>
              <w:sz w:val="18"/>
              <w:szCs w:val="18"/>
            </w:rPr>
            <w:t xml:space="preserve"> N ° 52 - 2022</w:t>
          </w:r>
          <w:r>
            <w:br/>
          </w:r>
        </w:p>
      </w:tc>
      <w:tc>
        <w:tcPr>
          <w:tcW w:w="3000" w:type="dxa"/>
          <w:vAlign w:val="center"/>
        </w:tcPr>
        <w:p>
          <w:pPr>
            <w:jc w:val="center"/>
          </w:pPr>
          <w:r>
            <w:rPr>
              <w:rFonts w:ascii="Arial" w:hAnsi="Arial" w:cs="Arial"/>
              <w:b/>
              <w:sz w:val="16"/>
              <w:szCs w:val="16"/>
            </w:rPr>
            <w:t>SUB DIRECCIÓN DE GESTIÓN DE LA INFORMACIÓN</w:t>
          </w:r>
        </w:p>
      </w:tc>
    </w:tr>
    <w:tr>
      <w:tc>
        <w:tcPr>
          <w:tcW w:w="2310" w:type="dxa"/>
          <w:vMerge/>
        </w:tcPr>
        <w:p>
          <w:pPr/>
        </w:p>
      </w:tc>
      <w:tc>
        <w:tcPr>
          <w:tcW w:w="2310" w:type="dxa"/>
          <w:vMerge/>
        </w:tcPr>
        <w:p>
          <w:pPr/>
        </w:p>
      </w:tc>
      <w:tc>
        <w:tcPr>
          <w:tcW w:w="2310" w:type="dxa"/>
          <w:vAlign w:val="center"/>
        </w:tcPr>
        <w:p>
          <w:pPr>
            <w:jc w:val="center"/>
          </w:pPr>
          <w:r>
            <w:rPr>
              <w:rFonts w:ascii="Arial" w:hAnsi="Arial" w:cs="Arial"/>
              <w:b/>
              <w:sz w:val="16"/>
              <w:szCs w:val="16"/>
            </w:rPr>
            <w:t>INFORME N° COES/D/SGI-XXX-2022</w:t>
          </w:r>
          <w:r>
            <w:rPr>
              <w:rFonts w:ascii="Arial" w:hAnsi="Arial" w:cs="Arial"/>
              <w:b/>
              <w:sz w:val="16"/>
              <w:szCs w:val="16"/>
            </w:rPr>
            <w:br/>
          </w:r>
          <w:r>
            <w:rPr>
              <w:rFonts w:ascii="Arial" w:hAnsi="Arial" w:cs="Arial"/>
              <w:b/>
              <w:sz w:val="16"/>
              <w:szCs w:val="16"/>
            </w:rPr>
            <w:t>FECHA: 31 de Octubre del 2023</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ee61c17ce51b40ae" /><Relationship Type="http://schemas.openxmlformats.org/officeDocument/2006/relationships/numbering" Target="/word/numbering.xml" Id="R98816818713849cb" /><Relationship Type="http://schemas.openxmlformats.org/officeDocument/2006/relationships/settings" Target="/word/settings.xml" Id="R1f2d204c9bdf447e" /><Relationship Type="http://schemas.openxmlformats.org/officeDocument/2006/relationships/header" Target="/word/header1.xml" Id="R7600770ee395493a" /><Relationship Type="http://schemas.openxmlformats.org/officeDocument/2006/relationships/header" Target="/word/header2.xml" Id="R6689689b2f2947e2" /><Relationship Type="http://schemas.openxmlformats.org/officeDocument/2006/relationships/header" Target="/word/header3.xml" Id="R16f828dd9a084612" /><Relationship Type="http://schemas.openxmlformats.org/officeDocument/2006/relationships/footer" Target="/word/footer1.xml" Id="R2626560f8be04022" /><Relationship Type="http://schemas.openxmlformats.org/officeDocument/2006/relationships/footer" Target="/word/footer2.xml" Id="R948c8f3454f740b4" /><Relationship Type="http://schemas.openxmlformats.org/officeDocument/2006/relationships/footer" Target="/word/footer3.xml" Id="R016e49b8160f4888" /><Relationship Type="http://schemas.openxmlformats.org/officeDocument/2006/relationships/image" Target="/word/media/4bd9c394-b89e-4f77-8fbe-a0da966a2a96.png" Id="R41b650b110484e86" /><Relationship Type="http://schemas.openxmlformats.org/officeDocument/2006/relationships/hyperlink" Target="http://www.coes.org.pe/Portal/Operacion/ProgOperacion/ProgramaDiario" TargetMode="External" Id="R659c0d6d18b04223" /><Relationship Type="http://schemas.openxmlformats.org/officeDocument/2006/relationships/hyperlink" Target="https://www.coes.org.pe/Portal/PostOperacion/Reportes/Idcos" TargetMode="External" Id="R6de10e491d3f4cec" /><Relationship Type="http://schemas.openxmlformats.org/officeDocument/2006/relationships/hyperlink" Target="https://www.coes.org.pe/Portal/Interconexiones/Reportes/MenuInterconexiones" TargetMode="External" Id="Rbfb8391037df44b1" /><Relationship Type="http://schemas.openxmlformats.org/officeDocument/2006/relationships/image" Target="/word/media/1db4946d-89ad-4daa-b725-a1121ddfdc0c.png" Id="R846f85918bfc430e" /><Relationship Type="http://schemas.openxmlformats.org/officeDocument/2006/relationships/image" Target="/word/media/b6838424-d8d7-42fd-b9f7-8080306d9df3.png" Id="R958235575e5e4dd1" /><Relationship Type="http://schemas.openxmlformats.org/officeDocument/2006/relationships/image" Target="/word/media/5ec0e989-51b0-4809-b634-46416bf91426.png" Id="R7ee9b0cf877d427c" /></Relationships>
</file>

<file path=word/_rels/header1.xml.rels>&#65279;<?xml version="1.0" encoding="utf-8"?><Relationships xmlns="http://schemas.openxmlformats.org/package/2006/relationships"><Relationship Type="http://schemas.openxmlformats.org/officeDocument/2006/relationships/image" Target="/word/media/4bd9c394-b89e-4f77-8fbe-a0da966a2a96.png" Id="Rc476a074115840cf" /></Relationships>
</file>