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55"/>
        <w:gridCol w:w="5940"/>
        <w:tblGridChange w:id="0">
          <w:tblGrid>
            <w:gridCol w:w="5755"/>
            <w:gridCol w:w="5940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الادغام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raditional Arabic" w:cs="Traditional Arabic" w:eastAsia="Traditional Arabic" w:hAnsi="Traditional Arabic"/>
                <w:color w:val="000000"/>
                <w:highlight w:val="white"/>
              </w:rPr>
            </w:pPr>
            <w:r w:rsidDel="00000000" w:rsidR="00000000" w:rsidRPr="00000000">
              <w:rPr>
                <w:rFonts w:ascii="Traditional Arabic" w:cs="Traditional Arabic" w:eastAsia="Traditional Arabic" w:hAnsi="Traditional Arabic"/>
                <w:color w:val="000000"/>
                <w:highlight w:val="white"/>
                <w:rtl w:val="0"/>
              </w:rPr>
              <w:t xml:space="preserve">Idgham : Memasukkan bunyi nun sukun dan tanwin ke dalam huruf huruf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raditional Arabic" w:cs="Traditional Arabic" w:eastAsia="Traditional Arabic" w:hAnsi="Traditional Arabic"/>
                <w:color w:val="000000"/>
                <w:highlight w:val="white"/>
              </w:rPr>
            </w:pPr>
            <w:r w:rsidDel="00000000" w:rsidR="00000000" w:rsidRPr="00000000">
              <w:rPr>
                <w:rFonts w:ascii="Traditional Arabic" w:cs="Traditional Arabic" w:eastAsia="Traditional Arabic" w:hAnsi="Traditional Arabic"/>
                <w:color w:val="000000"/>
                <w:highlight w:val="white"/>
                <w:rtl w:val="0"/>
              </w:rPr>
              <w:t xml:space="preserve">sehingga nun sukun dan tanwin tidak terlihat lagi. [Ada 2 macam,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raditional Arabic" w:cs="Traditional Arabic" w:eastAsia="Traditional Arabic" w:hAnsi="Traditional Arabic"/>
                <w:color w:val="000000"/>
                <w:highlight w:val="white"/>
              </w:rPr>
            </w:pPr>
            <w:r w:rsidDel="00000000" w:rsidR="00000000" w:rsidRPr="00000000">
              <w:rPr>
                <w:rFonts w:ascii="Traditional Arabic" w:cs="Traditional Arabic" w:eastAsia="Traditional Arabic" w:hAnsi="Traditional Arabic"/>
                <w:color w:val="000000"/>
                <w:highlight w:val="white"/>
                <w:rtl w:val="0"/>
              </w:rPr>
              <w:t xml:space="preserve">disertai ghunnah (bighunnah) dan tanpa ghunnah (bilaghunnah)].</w:t>
            </w:r>
          </w:p>
        </w:tc>
      </w:tr>
      <w:tr>
        <w:trPr>
          <w:cantSplit w:val="0"/>
          <w:trHeight w:val="14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ض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ًۭ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 ۚ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bidi w:val="1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َ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أ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َ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ن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ْ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ف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ِ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ق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ُ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وا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ِ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ن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ْ 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َ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ا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ر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َ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ز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َ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ق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ْ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ن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َ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اك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ُ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إ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 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bidi w:val="1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إ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ِ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ل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َّ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ا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س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َ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اع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َ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ة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ً 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ِ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ن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ْ 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ن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َ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ه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َ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ار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bidi w:val="1"/>
              <w:jc w:val="left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۟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ٰٓ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ئ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۟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bidi w:val="1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ِ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ن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ْ 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د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ُ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ون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ِ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ه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ِ 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ِ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ن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ْ 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َ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rFonts w:ascii="Arial" w:cs="Arial" w:eastAsia="Arial" w:hAnsi="Arial"/>
                <w:sz w:val="60"/>
                <w:szCs w:val="60"/>
                <w:highlight w:val="white"/>
                <w:rtl w:val="1"/>
              </w:rPr>
              <w:t xml:space="preserve">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ٌۭ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ٌۭ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bidi w:val="1"/>
              <w:jc w:val="left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ٱلن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ئ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ٍۢ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اب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ۥ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ٌۭ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ى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ئ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ٍۢ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ٌۭ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ئ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ٍۢ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ض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ٌۭ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ش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 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ٱت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إ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ۥ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ى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ض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ٌۭ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نز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ٌۭ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ِّ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ٍۢ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خ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ٍۢ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يب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خ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ٌ ؕ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ٰٓ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ٮ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ِٕ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 ​ؕ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ة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ٌ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ُّ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ؤ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ة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ٌ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خ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ٌ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ُّ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ش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ة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ٍ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ج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ت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ۡ​ۚ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bidi w:val="1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bidi w:val="1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bidi w:val="1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bidi w:val="1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bidi w:val="1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bidi w:val="1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bidi w:val="1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bidi w:val="1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Traditional Arab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i-FI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5F060D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ja-JP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B621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F06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060D"/>
  </w:style>
  <w:style w:type="paragraph" w:styleId="Footer">
    <w:name w:val="footer"/>
    <w:basedOn w:val="Normal"/>
    <w:link w:val="FooterChar"/>
    <w:uiPriority w:val="99"/>
    <w:unhideWhenUsed w:val="1"/>
    <w:rsid w:val="005F06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060D"/>
  </w:style>
  <w:style w:type="character" w:styleId="hgkelc" w:customStyle="1">
    <w:name w:val="hgkelc"/>
    <w:basedOn w:val="DefaultParagraphFont"/>
    <w:rsid w:val="005F060D"/>
  </w:style>
  <w:style w:type="character" w:styleId="Heading2Char" w:customStyle="1">
    <w:name w:val="Heading 2 Char"/>
    <w:basedOn w:val="DefaultParagraphFont"/>
    <w:link w:val="Heading2"/>
    <w:uiPriority w:val="9"/>
    <w:rsid w:val="005F060D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ja-JP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E8TLgXj7ejgRLSvF3zTAZyHaKA==">CgMxLjA4AHIhMTNDLXFTbHpRRDRlbjVIN2x0aDBWQ0FDUVhjNXJRZlha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2023-07-15T14:25:00Z</dcterms:created>
  <dc:creator>ahusniyaturosyida@gmail.com</dc:creator>
</cp:coreProperties>
</file>