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regresi berganda.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w:t>
      </w:r>
      <w:r>
        <w:rPr>
          <w:rFonts w:ascii="Times New Roman" w:hAnsi="Times New Roman" w:cs="Times New Roman"/>
          <w:sz w:val="24"/>
          <w:szCs w:val="24"/>
        </w:rPr>
        <w:t>karyawan</w:t>
      </w:r>
      <w:r>
        <w:rPr>
          <w:rFonts w:ascii="Times New Roman" w:hAnsi="Times New Roman" w:cs="Times New Roman"/>
          <w:sz w:val="24"/>
          <w:szCs w:val="24"/>
        </w:rPr>
        <w:t xml:space="preserve">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 xml:space="preserve">erubahan organisasi adalah tindakan beralihnya </w:t>
      </w:r>
      <w:r>
        <w:rPr>
          <w:rFonts w:ascii="Times New Roman" w:hAnsi="Times New Roman" w:cs="Times New Roman"/>
          <w:sz w:val="24"/>
          <w:szCs w:val="24"/>
        </w:rPr>
        <w:t>perusahaan</w:t>
      </w:r>
      <w:r>
        <w:rPr>
          <w:rFonts w:ascii="Times New Roman" w:hAnsi="Times New Roman" w:cs="Times New Roman"/>
          <w:sz w:val="24"/>
          <w:szCs w:val="24"/>
        </w:rPr>
        <w:t xml:space="preserve">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 xml:space="preserve">odal psikologis adalah pendorong pemahaman dari apa yang “benar” dari diri </w:t>
      </w:r>
      <w:r>
        <w:rPr>
          <w:rFonts w:ascii="Times New Roman" w:hAnsi="Times New Roman" w:cs="Times New Roman"/>
          <w:sz w:val="24"/>
          <w:szCs w:val="24"/>
        </w:rPr>
        <w:t>karyawan</w:t>
      </w:r>
      <w:r>
        <w:rPr>
          <w:rFonts w:ascii="Times New Roman" w:hAnsi="Times New Roman" w:cs="Times New Roman"/>
          <w:sz w:val="24"/>
          <w:szCs w:val="24"/>
        </w:rPr>
        <w:t xml:space="preserve"> dan fokus pada kekuatan psikologis yang terbuka pada perkembangan, sehingga </w:t>
      </w:r>
      <w:r>
        <w:rPr>
          <w:rFonts w:ascii="Times New Roman" w:hAnsi="Times New Roman" w:cs="Times New Roman"/>
          <w:sz w:val="24"/>
          <w:szCs w:val="24"/>
        </w:rPr>
        <w:t>karyawan</w:t>
      </w:r>
      <w:r>
        <w:rPr>
          <w:rFonts w:ascii="Times New Roman" w:hAnsi="Times New Roman" w:cs="Times New Roman"/>
          <w:sz w:val="24"/>
          <w:szCs w:val="24"/>
        </w:rPr>
        <w:t xml:space="preserve">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Samarinda yaitu berjumlah 4</w:t>
      </w:r>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tcBorders>
              <w:top w:val="single" w:color="auto" w:sz="4" w:space="0"/>
              <w:left w:val="nil"/>
              <w:bottom w:val="nil"/>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tcBorders>
              <w:top w:val="single" w:color="auto" w:sz="4" w:space="0"/>
              <w:left w:val="nil"/>
              <w:bottom w:val="nil"/>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tcBorders>
              <w:top w:val="nil"/>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tcBorders>
              <w:top w:val="nil"/>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Borders>
              <w:top w:val="single" w:color="auto" w:sz="4" w:space="0"/>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Borders>
              <w:top w:val="nil"/>
              <w:left w:val="nil"/>
              <w:bottom w:val="single" w:color="auto" w:sz="4" w:space="0"/>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507" w:type="dxa"/>
            <w:gridSpan w:val="2"/>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c>
          <w:tcPr>
            <w:tcW w:w="1327" w:type="dxa"/>
            <w:tcBorders>
              <w:top w:val="nil"/>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Borders>
              <w:top w:val="single" w:color="auto" w:sz="4" w:space="0"/>
              <w:left w:val="nil"/>
              <w:bottom w:val="single" w:color="auto" w:sz="4" w:space="0"/>
              <w:right w:val="nil"/>
            </w:tcBorders>
          </w:tcPr>
          <w:p>
            <w:pPr>
              <w:pStyle w:val="9"/>
              <w:spacing w:after="0" w:line="240" w:lineRule="auto"/>
              <w:ind w:left="0"/>
              <w:jc w:val="center"/>
              <w:rPr>
                <w:rFonts w:ascii="Times New Roman" w:hAnsi="Times New Roman" w:cs="Times New Roman"/>
                <w:sz w:val="24"/>
                <w:szCs w:val="24"/>
                <w:lang w:val="en-US"/>
              </w:rPr>
            </w:pP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tcBorders>
              <w:top w:val="single" w:color="auto" w:sz="4" w:space="0"/>
              <w:left w:val="nil"/>
              <w:bottom w:val="single" w:color="auto" w:sz="4" w:space="0"/>
              <w:right w:val="nil"/>
            </w:tcBorders>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rPr>
            </w:pPr>
          </w:p>
        </w:tc>
        <w:tc>
          <w:tcPr>
            <w:tcW w:w="3512" w:type="dxa"/>
            <w:vMerge w:val="continue"/>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rPr>
            </w:pPr>
          </w:p>
        </w:tc>
        <w:tc>
          <w:tcPr>
            <w:tcW w:w="1263"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Borders>
              <w:top w:val="single" w:color="auto" w:sz="4" w:space="0"/>
              <w:left w:val="nil"/>
              <w:bottom w:val="nil"/>
              <w:right w:val="nil"/>
            </w:tcBorders>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Borders>
              <w:top w:val="nil"/>
              <w:left w:val="nil"/>
              <w:bottom w:val="nil"/>
              <w:right w:val="nil"/>
            </w:tcBorders>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Borders>
              <w:top w:val="nil"/>
              <w:left w:val="nil"/>
              <w:bottom w:val="nil"/>
              <w:right w:val="nil"/>
            </w:tcBorders>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1456"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Borders>
              <w:top w:val="nil"/>
              <w:left w:val="nil"/>
              <w:bottom w:val="nil"/>
              <w:right w:val="nil"/>
            </w:tcBorders>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Borders>
              <w:top w:val="nil"/>
              <w:left w:val="nil"/>
              <w:bottom w:val="nil"/>
              <w:right w:val="nil"/>
            </w:tcBorders>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p>
        </w:tc>
      </w:tr>
    </w:tbl>
    <w:p>
      <w:pPr>
        <w:pStyle w:val="9"/>
        <w:spacing w:after="0" w:line="480" w:lineRule="auto"/>
        <w:ind w:left="0"/>
        <w:jc w:val="both"/>
        <w:rPr>
          <w:rFonts w:ascii="Times New Roman" w:hAnsi="Times New Roman" w:cs="Times New Roman"/>
          <w:b/>
          <w:sz w:val="24"/>
          <w:szCs w:val="24"/>
        </w:rPr>
      </w:pPr>
    </w:p>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CellMar>
            <w:top w:w="0" w:type="dxa"/>
            <w:left w:w="108" w:type="dxa"/>
            <w:bottom w:w="0" w:type="dxa"/>
            <w:right w:w="108" w:type="dxa"/>
          </w:tblCellMar>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21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CellMar>
            <w:top w:w="0" w:type="dxa"/>
            <w:left w:w="108" w:type="dxa"/>
            <w:bottom w:w="0" w:type="dxa"/>
            <w:right w:w="108" w:type="dxa"/>
          </w:tblCellMar>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21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modern"/>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decorative"/>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modern"/>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07BB99C3"/>
    <w:rsid w:val="1FE6FB41"/>
    <w:rsid w:val="372E2B9B"/>
    <w:rsid w:val="3EFF94CD"/>
    <w:rsid w:val="5F3FC2F8"/>
    <w:rsid w:val="5FBDCAF3"/>
    <w:rsid w:val="77F7FC22"/>
    <w:rsid w:val="7BFF4FEC"/>
    <w:rsid w:val="7EDF1D55"/>
    <w:rsid w:val="7EFF0431"/>
    <w:rsid w:val="7F6DF5E4"/>
    <w:rsid w:val="7FCF3116"/>
    <w:rsid w:val="7FDD8B2B"/>
    <w:rsid w:val="B7FF5B9B"/>
    <w:rsid w:val="BFFF81EE"/>
    <w:rsid w:val="C9F721A3"/>
    <w:rsid w:val="D577CC2C"/>
    <w:rsid w:val="DC958F6B"/>
    <w:rsid w:val="EFFCB846"/>
    <w:rsid w:val="F734B8FB"/>
    <w:rsid w:val="FBFD46AB"/>
    <w:rsid w:val="FED79481"/>
    <w:rsid w:val="FEEE4A5E"/>
    <w:rsid w:val="FF4B1F3B"/>
    <w:rsid w:val="FFBE15AF"/>
    <w:rsid w:val="FFBF593A"/>
    <w:rsid w:val="FFDC83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qFormat/>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2017-04-23T12:04:00Z</dcterms:created>
  <dc:creator>User</dc:creator>
  <cp:lastModifiedBy>root</cp:lastModifiedBy>
  <cp:lastPrinted>2016-04-12T19:30:00Z</cp:lastPrinted>
  <dcterms:modified xsi:type="dcterms:W3CDTF">2017-04-28T16:21:07Z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