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3F6A7" w14:textId="7878BE4A" w:rsidR="005136F7" w:rsidRDefault="00C12A20" w:rsidP="003D766E">
      <w:pPr>
        <w:pStyle w:val="Title"/>
      </w:pPr>
      <w:r w:rsidRPr="0061142F">
        <w:t>MILESTONE 2</w:t>
      </w:r>
    </w:p>
    <w:p w14:paraId="5188F41E" w14:textId="7826AA45" w:rsidR="005136F7" w:rsidRPr="0061142F" w:rsidRDefault="005136F7" w:rsidP="003D766E">
      <w:pPr>
        <w:pStyle w:val="Heading1"/>
      </w:pPr>
      <w:r w:rsidRPr="0061142F">
        <w:t>Data Cleaning</w:t>
      </w:r>
    </w:p>
    <w:p w14:paraId="5DFD7F16" w14:textId="0CED2CDB" w:rsidR="005136F7" w:rsidRDefault="003D766E" w:rsidP="003D766E">
      <w:pPr>
        <w:pStyle w:val="ListParagraph"/>
        <w:numPr>
          <w:ilvl w:val="0"/>
          <w:numId w:val="1"/>
        </w:numPr>
        <w:autoSpaceDE w:val="0"/>
        <w:autoSpaceDN w:val="0"/>
        <w:adjustRightInd w:val="0"/>
        <w:spacing w:after="0" w:line="240" w:lineRule="auto"/>
      </w:pPr>
      <w:r>
        <w:t>See the “</w:t>
      </w:r>
      <w:r w:rsidR="00E64F1D">
        <w:t>audible-cleaned</w:t>
      </w:r>
      <w:r>
        <w:t>.xlsx” file</w:t>
      </w:r>
      <w:r w:rsidR="00C64340">
        <w:t xml:space="preserve"> for the cleaned dataset</w:t>
      </w:r>
      <w:r>
        <w:t>.</w:t>
      </w:r>
    </w:p>
    <w:p w14:paraId="0DF42FC6" w14:textId="1278EEBF" w:rsidR="005136F7" w:rsidRDefault="003D766E" w:rsidP="000F681D">
      <w:pPr>
        <w:pStyle w:val="ListParagraph"/>
        <w:numPr>
          <w:ilvl w:val="0"/>
          <w:numId w:val="1"/>
        </w:numPr>
        <w:autoSpaceDE w:val="0"/>
        <w:autoSpaceDN w:val="0"/>
        <w:adjustRightInd w:val="0"/>
        <w:spacing w:after="0" w:line="240" w:lineRule="auto"/>
      </w:pPr>
      <w:r w:rsidRPr="003D766E">
        <w:rPr>
          <w:b/>
          <w:bCs/>
        </w:rPr>
        <w:t>NOTE:</w:t>
      </w:r>
      <w:r>
        <w:t xml:space="preserve"> The “Stars” column has been converted to numeric data type, and instances of “Not rated yet” have been </w:t>
      </w:r>
      <w:r w:rsidR="009419D6">
        <w:t>replaced</w:t>
      </w:r>
      <w:r>
        <w:t xml:space="preserve"> with -1.0 (to indicate that no ratings exist for the record in question).</w:t>
      </w:r>
    </w:p>
    <w:p w14:paraId="7673B703" w14:textId="352C520C" w:rsidR="00000965" w:rsidRDefault="005136F7" w:rsidP="000E6196">
      <w:pPr>
        <w:pStyle w:val="Heading1"/>
      </w:pPr>
      <w:r w:rsidRPr="0061142F">
        <w:t>Data Analysis</w:t>
      </w:r>
    </w:p>
    <w:p w14:paraId="6AB5E546" w14:textId="3E9C5947" w:rsidR="000E6196" w:rsidRPr="00F33EE2" w:rsidRDefault="000E6196" w:rsidP="000E6196">
      <w:pPr>
        <w:pStyle w:val="ListParagraph"/>
        <w:numPr>
          <w:ilvl w:val="0"/>
          <w:numId w:val="2"/>
        </w:numPr>
        <w:rPr>
          <w:b/>
          <w:bCs/>
        </w:rPr>
      </w:pPr>
      <w:r w:rsidRPr="000E6196">
        <w:rPr>
          <w:b/>
          <w:bCs/>
        </w:rPr>
        <w:t>Answer:</w:t>
      </w:r>
      <w:r w:rsidR="00CD15FD">
        <w:t xml:space="preserve"> No (see the “Sheet2” sheet of the “</w:t>
      </w:r>
      <w:r w:rsidR="00E64F1D">
        <w:t>f</w:t>
      </w:r>
      <w:r w:rsidR="00CD15FD">
        <w:t xml:space="preserve">inearts.xlsx” file for the </w:t>
      </w:r>
      <w:r w:rsidR="00F33EE2">
        <w:t xml:space="preserve">relevant </w:t>
      </w:r>
      <w:r w:rsidR="00CD15FD">
        <w:t>pivot table).</w:t>
      </w:r>
    </w:p>
    <w:p w14:paraId="69A4ABFE" w14:textId="6D6725BC" w:rsidR="00FA05C4" w:rsidRPr="00F33EE2" w:rsidRDefault="00F33EE2" w:rsidP="00FA05C4">
      <w:pPr>
        <w:pStyle w:val="ListParagraph"/>
      </w:pPr>
      <w:r>
        <w:rPr>
          <w:b/>
          <w:bCs/>
        </w:rPr>
        <w:t>Justification:</w:t>
      </w:r>
      <w:r>
        <w:t xml:space="preserve"> The numbers of women who are admitted or rejected from the College of Fine Arts are almost </w:t>
      </w:r>
      <w:proofErr w:type="gramStart"/>
      <w:r>
        <w:t>exactly the same</w:t>
      </w:r>
      <w:proofErr w:type="gramEnd"/>
      <w:r>
        <w:t xml:space="preserve"> as the numbers of men who are admitted or rejected from the College of Fine Arts.</w:t>
      </w:r>
    </w:p>
    <w:p w14:paraId="1ED53744" w14:textId="32E3823A" w:rsidR="000E6196" w:rsidRPr="00F33EE2" w:rsidRDefault="000E6196" w:rsidP="000E6196">
      <w:pPr>
        <w:pStyle w:val="ListParagraph"/>
        <w:numPr>
          <w:ilvl w:val="0"/>
          <w:numId w:val="2"/>
        </w:numPr>
        <w:rPr>
          <w:b/>
          <w:bCs/>
        </w:rPr>
      </w:pPr>
      <w:r w:rsidRPr="000E6196">
        <w:rPr>
          <w:b/>
          <w:bCs/>
        </w:rPr>
        <w:t>Answer</w:t>
      </w:r>
      <w:r>
        <w:rPr>
          <w:b/>
          <w:bCs/>
        </w:rPr>
        <w:t>:</w:t>
      </w:r>
      <w:r w:rsidR="00F33EE2">
        <w:rPr>
          <w:b/>
          <w:bCs/>
        </w:rPr>
        <w:t xml:space="preserve"> </w:t>
      </w:r>
      <w:r w:rsidR="00210495">
        <w:t xml:space="preserve">Emergency Room (see the “Sheet2” sheet of </w:t>
      </w:r>
      <w:r w:rsidR="009419D6">
        <w:t>the “</w:t>
      </w:r>
      <w:r w:rsidR="00E64F1D">
        <w:t>hospital</w:t>
      </w:r>
      <w:r w:rsidR="009419D6">
        <w:t>.xlsx”</w:t>
      </w:r>
      <w:r w:rsidR="00DC732F">
        <w:t xml:space="preserve"> file for the relevant pivot table</w:t>
      </w:r>
      <w:r w:rsidR="009419D6">
        <w:t xml:space="preserve"> and table</w:t>
      </w:r>
      <w:r w:rsidR="00210495">
        <w:t>)</w:t>
      </w:r>
    </w:p>
    <w:p w14:paraId="7F15952A" w14:textId="1D4DCB24" w:rsidR="00F33EE2" w:rsidRPr="00F33EE2" w:rsidRDefault="00F33EE2" w:rsidP="00F33EE2">
      <w:pPr>
        <w:pStyle w:val="ListParagraph"/>
      </w:pPr>
      <w:r>
        <w:rPr>
          <w:b/>
          <w:bCs/>
        </w:rPr>
        <w:t>Justification:</w:t>
      </w:r>
      <w:r>
        <w:t xml:space="preserve"> </w:t>
      </w:r>
      <w:r w:rsidR="009419D6">
        <w:t xml:space="preserve">Although the overall percentage of patients who live (resp. die) is higher (resp. lower) for Chicago Hope than for Emergency Room, this difference is not significant as it is within two percentage points and the number of patients admitted is roughly the same (203 for Chicago Hope and 200 for Emergency Room). On the other hand, </w:t>
      </w:r>
      <w:r w:rsidR="00DE38BC">
        <w:t>the percentages of patients who live (resp. die), within each of the high-risk and low-risk categories, are significantly higher (resp. lower) for Emergency Room than they are for Chicago Hope, even though Emergency Room has admitted a significantly higher number of high-risk patients, unlike Chicago Hope.</w:t>
      </w:r>
    </w:p>
    <w:p w14:paraId="1388160F" w14:textId="0D53993E" w:rsidR="000E6196" w:rsidRPr="006C0252" w:rsidRDefault="000E6196" w:rsidP="000E6196">
      <w:pPr>
        <w:pStyle w:val="ListParagraph"/>
        <w:numPr>
          <w:ilvl w:val="0"/>
          <w:numId w:val="2"/>
        </w:numPr>
        <w:rPr>
          <w:b/>
          <w:bCs/>
        </w:rPr>
      </w:pPr>
      <w:r w:rsidRPr="000E6196">
        <w:rPr>
          <w:b/>
          <w:bCs/>
        </w:rPr>
        <w:t>Answer:</w:t>
      </w:r>
      <w:r w:rsidR="006C0252" w:rsidRPr="006C0252">
        <w:t xml:space="preserve"> </w:t>
      </w:r>
      <w:r w:rsidR="006C0252">
        <w:t>Yes (see the “Sheet2”, “Sheet3” and “Sheet4” sheets of the “</w:t>
      </w:r>
      <w:r w:rsidR="00E64F1D">
        <w:t>d</w:t>
      </w:r>
      <w:r w:rsidR="006C0252">
        <w:t>ow.xlsx” file for the relevant pivot charts).</w:t>
      </w:r>
    </w:p>
    <w:p w14:paraId="22B44EC4" w14:textId="61D81027" w:rsidR="006C0252" w:rsidRPr="006C0252" w:rsidRDefault="006C0252" w:rsidP="006C0252">
      <w:pPr>
        <w:pStyle w:val="ListParagraph"/>
      </w:pPr>
      <w:r>
        <w:rPr>
          <w:b/>
          <w:bCs/>
        </w:rPr>
        <w:t>Justification:</w:t>
      </w:r>
      <w:r>
        <w:t xml:space="preserve"> There are several years which have seen a disproportionately high average return (e.g., 1954 and 1976), as well as several years which have seen a disproportionately low average return (e.g. 1973 and 1974), when compared to rest of the yearly average returns. This is further complemented by the frequency and amplitude of consecutive monthly returns which are either positive or negative</w:t>
      </w:r>
      <w:r w:rsidR="00092FC0">
        <w:t xml:space="preserve"> within the specific years in question, which form patterns present in only a small minority of years from 1947 to 1992.</w:t>
      </w:r>
    </w:p>
    <w:p w14:paraId="6D16756F" w14:textId="6B9D9FD3" w:rsidR="000E6196" w:rsidRPr="009A5EB7" w:rsidRDefault="000E6196" w:rsidP="000E6196">
      <w:pPr>
        <w:pStyle w:val="ListParagraph"/>
        <w:numPr>
          <w:ilvl w:val="0"/>
          <w:numId w:val="2"/>
        </w:numPr>
      </w:pPr>
      <w:r w:rsidRPr="000E6196">
        <w:rPr>
          <w:b/>
          <w:bCs/>
        </w:rPr>
        <w:t>Answer:</w:t>
      </w:r>
      <w:r w:rsidR="009A5EB7">
        <w:t xml:space="preserve"> See the “Sheet2” sheet of the “</w:t>
      </w:r>
      <w:r w:rsidR="00E64F1D">
        <w:t>m</w:t>
      </w:r>
      <w:r w:rsidR="009A5EB7">
        <w:t>akeupdb.xlsx” file for the relevant pivot table. The function that always yield’s Jen’s lipstick sales is given</w:t>
      </w:r>
      <w:r w:rsidR="000D1BA3">
        <w:t xml:space="preserve"> (between quotation marks) </w:t>
      </w:r>
      <w:r w:rsidR="009A5EB7">
        <w:t>by</w:t>
      </w:r>
      <w:r w:rsidR="000D1BA3">
        <w:t>:</w:t>
      </w:r>
    </w:p>
    <w:p w14:paraId="36845405" w14:textId="3B6DA6EE" w:rsidR="009A5EB7" w:rsidRPr="000D1BA3" w:rsidRDefault="000D1BA3" w:rsidP="009A5EB7">
      <w:pPr>
        <w:pStyle w:val="ListParagraph"/>
        <w:rPr>
          <w:rFonts w:ascii="Arial" w:hAnsi="Arial" w:cs="Arial"/>
          <w:i/>
          <w:iCs/>
        </w:rPr>
      </w:pPr>
      <w:r>
        <w:t>“</w:t>
      </w:r>
      <w:r w:rsidR="009A5EB7" w:rsidRPr="000D1BA3">
        <w:rPr>
          <w:rFonts w:ascii="Arial" w:hAnsi="Arial" w:cs="Arial"/>
          <w:i/>
          <w:iCs/>
        </w:rPr>
        <w:t>=</w:t>
      </w:r>
      <w:proofErr w:type="gramStart"/>
      <w:r w:rsidR="009A5EB7" w:rsidRPr="000D1BA3">
        <w:rPr>
          <w:rFonts w:ascii="Arial" w:hAnsi="Arial" w:cs="Arial"/>
          <w:i/>
          <w:iCs/>
        </w:rPr>
        <w:t>GETPIVOTDATA(</w:t>
      </w:r>
      <w:proofErr w:type="gramEnd"/>
      <w:r w:rsidR="009A5EB7" w:rsidRPr="000D1BA3">
        <w:rPr>
          <w:rFonts w:ascii="Arial" w:hAnsi="Arial" w:cs="Arial"/>
          <w:i/>
          <w:iCs/>
        </w:rPr>
        <w:t>"Sum of Dollars",$A$4,"Name","Jen","Product","lipstick")</w:t>
      </w:r>
      <w:r>
        <w:t>”</w:t>
      </w:r>
    </w:p>
    <w:p w14:paraId="517F8D6E" w14:textId="2E1F8BCF" w:rsidR="000E6196" w:rsidRPr="00033930" w:rsidRDefault="000E6196" w:rsidP="000E6196">
      <w:pPr>
        <w:pStyle w:val="ListParagraph"/>
        <w:numPr>
          <w:ilvl w:val="0"/>
          <w:numId w:val="2"/>
        </w:numPr>
        <w:rPr>
          <w:b/>
          <w:bCs/>
        </w:rPr>
      </w:pPr>
      <w:r>
        <w:rPr>
          <w:b/>
          <w:bCs/>
        </w:rPr>
        <w:t>Answer:</w:t>
      </w:r>
      <w:r w:rsidR="00033930">
        <w:rPr>
          <w:b/>
          <w:bCs/>
        </w:rPr>
        <w:t xml:space="preserve"> </w:t>
      </w:r>
      <w:r w:rsidR="00033930">
        <w:t>17</w:t>
      </w:r>
    </w:p>
    <w:p w14:paraId="2F1FFDF9" w14:textId="105B8E3E" w:rsidR="00033930" w:rsidRDefault="00033930" w:rsidP="00033930">
      <w:pPr>
        <w:pStyle w:val="ListParagraph"/>
        <w:rPr>
          <w:rFonts w:eastAsiaTheme="minorEastAsia"/>
        </w:rPr>
      </w:pPr>
      <w:r>
        <w:rPr>
          <w:b/>
          <w:bCs/>
        </w:rPr>
        <w:t>Justification:</w:t>
      </w:r>
      <w:r>
        <w:t xml:space="preserve"> Let </w:t>
      </w:r>
      <m:oMath>
        <m:r>
          <w:rPr>
            <w:rFonts w:ascii="Cambria Math" w:hAnsi="Cambria Math"/>
          </w:rPr>
          <m:t>N</m:t>
        </m:r>
      </m:oMath>
      <w:r>
        <w:rPr>
          <w:rFonts w:eastAsiaTheme="minorEastAsia"/>
        </w:rPr>
        <w:t xml:space="preserve"> be the number of paid registrants </w:t>
      </w:r>
      <w:r w:rsidR="00AC4559">
        <w:rPr>
          <w:rFonts w:eastAsiaTheme="minorEastAsia"/>
        </w:rPr>
        <w:t xml:space="preserve">which need </w:t>
      </w:r>
      <w:r>
        <w:rPr>
          <w:rFonts w:eastAsiaTheme="minorEastAsia"/>
        </w:rPr>
        <w:t xml:space="preserve">to attend </w:t>
      </w:r>
      <w:r w:rsidR="00AC4559">
        <w:rPr>
          <w:rFonts w:eastAsiaTheme="minorEastAsia"/>
        </w:rPr>
        <w:t>for</w:t>
      </w:r>
      <w:r>
        <w:rPr>
          <w:rFonts w:eastAsiaTheme="minorEastAsia"/>
        </w:rPr>
        <w:t xml:space="preserve"> me to break even.</w:t>
      </w:r>
      <w:r w:rsidR="00794C4B">
        <w:rPr>
          <w:rFonts w:eastAsiaTheme="minorEastAsia"/>
        </w:rPr>
        <w:t xml:space="preserve"> Then, given that there are </w:t>
      </w:r>
      <m:oMath>
        <m:r>
          <w:rPr>
            <w:rFonts w:ascii="Cambria Math" w:eastAsiaTheme="minorEastAsia" w:hAnsi="Cambria Math"/>
          </w:rPr>
          <m:t>10</m:t>
        </m:r>
      </m:oMath>
      <w:r w:rsidR="00794C4B">
        <w:rPr>
          <w:rFonts w:eastAsiaTheme="minorEastAsia"/>
        </w:rPr>
        <w:t xml:space="preserve"> speakers at the conference and that the conference fees entail </w:t>
      </w:r>
      <m:oMath>
        <m:r>
          <w:rPr>
            <w:rFonts w:ascii="Cambria Math" w:eastAsiaTheme="minorEastAsia" w:hAnsi="Cambria Math"/>
          </w:rPr>
          <m:t>$700</m:t>
        </m:r>
      </m:oMath>
      <w:r w:rsidR="00794C4B">
        <w:rPr>
          <w:rFonts w:eastAsiaTheme="minorEastAsia"/>
        </w:rPr>
        <w:t xml:space="preserve"> per speaker and </w:t>
      </w:r>
      <m:oMath>
        <m:r>
          <w:rPr>
            <w:rFonts w:ascii="Cambria Math" w:eastAsiaTheme="minorEastAsia" w:hAnsi="Cambria Math"/>
          </w:rPr>
          <m:t>$300</m:t>
        </m:r>
      </m:oMath>
      <w:r w:rsidR="00794C4B">
        <w:rPr>
          <w:rFonts w:eastAsiaTheme="minorEastAsia"/>
        </w:rPr>
        <w:t xml:space="preserve"> per conference participant for food and lodging costs, it follows that the number </w:t>
      </w:r>
      <m:oMath>
        <m:r>
          <w:rPr>
            <w:rFonts w:ascii="Cambria Math" w:eastAsiaTheme="minorEastAsia" w:hAnsi="Cambria Math"/>
          </w:rPr>
          <m:t>N</m:t>
        </m:r>
      </m:oMath>
      <w:r w:rsidR="00794C4B">
        <w:rPr>
          <w:rFonts w:eastAsiaTheme="minorEastAsia"/>
        </w:rPr>
        <w:t xml:space="preserve"> satisfies:</w:t>
      </w:r>
    </w:p>
    <w:p w14:paraId="37B37331" w14:textId="730A36B4" w:rsidR="00794C4B" w:rsidRPr="001F477A" w:rsidRDefault="00794C4B" w:rsidP="00033930">
      <w:pPr>
        <w:pStyle w:val="ListParagraph"/>
        <w:rPr>
          <w:rFonts w:eastAsiaTheme="minorEastAsia"/>
        </w:rPr>
      </w:pPr>
      <m:oMathPara>
        <m:oMath>
          <m:r>
            <w:rPr>
              <w:rFonts w:ascii="Cambria Math" w:hAnsi="Cambria Math"/>
            </w:rPr>
            <m:t xml:space="preserve">N=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900n≥</m:t>
                      </m:r>
                      <m:d>
                        <m:dPr>
                          <m:ctrlPr>
                            <w:rPr>
                              <w:rFonts w:ascii="Cambria Math" w:hAnsi="Cambria Math"/>
                              <w:i/>
                            </w:rPr>
                          </m:ctrlPr>
                        </m:dPr>
                        <m:e>
                          <m:r>
                            <w:rPr>
                              <w:rFonts w:ascii="Cambria Math" w:hAnsi="Cambria Math"/>
                            </w:rPr>
                            <m:t>n+10</m:t>
                          </m:r>
                        </m:e>
                      </m:d>
                      <m:r>
                        <w:rPr>
                          <w:rFonts w:ascii="Cambria Math" w:hAnsi="Cambria Math"/>
                        </w:rPr>
                        <m:t>×300+10×700</m:t>
                      </m:r>
                    </m:e>
                  </m:d>
                </m:e>
              </m:d>
            </m:e>
          </m:func>
        </m:oMath>
      </m:oMathPara>
    </w:p>
    <w:p w14:paraId="29A8562D" w14:textId="2C73BA0A" w:rsidR="001F477A" w:rsidRDefault="001F477A" w:rsidP="001F477A">
      <w:pPr>
        <w:pStyle w:val="ListParagraph"/>
        <w:rPr>
          <w:rFonts w:eastAsiaTheme="minorEastAsia"/>
        </w:rPr>
      </w:pPr>
      <w:r>
        <w:rPr>
          <w:rFonts w:eastAsiaTheme="minorEastAsia"/>
        </w:rPr>
        <w:lastRenderedPageBreak/>
        <w:t>whereupon:</w:t>
      </w:r>
    </w:p>
    <w:p w14:paraId="261A07F4" w14:textId="220E6CEE" w:rsidR="001F477A" w:rsidRPr="00AC4559" w:rsidRDefault="001F477A" w:rsidP="001F477A">
      <w:pPr>
        <w:pStyle w:val="ListParagraph"/>
        <w:spacing w:line="480" w:lineRule="auto"/>
        <w:rPr>
          <w:rFonts w:eastAsiaTheme="minorEastAsia"/>
        </w:rPr>
      </w:pPr>
      <m:oMathPara>
        <m:oMath>
          <m:r>
            <w:rPr>
              <w:rFonts w:ascii="Cambria Math" w:hAnsi="Cambria Math"/>
            </w:rPr>
            <m:t>N</m:t>
          </m:r>
          <m:r>
            <m:rPr>
              <m:aln/>
            </m:rP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900n≥</m:t>
                      </m:r>
                      <m:d>
                        <m:dPr>
                          <m:ctrlPr>
                            <w:rPr>
                              <w:rFonts w:ascii="Cambria Math" w:hAnsi="Cambria Math"/>
                              <w:i/>
                            </w:rPr>
                          </m:ctrlPr>
                        </m:dPr>
                        <m:e>
                          <m:r>
                            <w:rPr>
                              <w:rFonts w:ascii="Cambria Math" w:hAnsi="Cambria Math"/>
                            </w:rPr>
                            <m:t>n+10</m:t>
                          </m:r>
                        </m:e>
                      </m:d>
                      <m:r>
                        <w:rPr>
                          <w:rFonts w:ascii="Cambria Math" w:hAnsi="Cambria Math"/>
                        </w:rPr>
                        <m:t>×300+10×700</m:t>
                      </m:r>
                    </m:e>
                  </m:d>
                </m:e>
              </m:d>
            </m:e>
          </m:func>
          <m:r>
            <m:rPr>
              <m:sty m:val="p"/>
            </m:rPr>
            <w:rPr>
              <w:rFonts w:eastAsiaTheme="minorEastAsia"/>
            </w:rPr>
            <w:br/>
          </m:r>
        </m:oMath>
        <m:oMath>
          <m:r>
            <m:rPr>
              <m:aln/>
            </m:rP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900n≥300n+3000+7000</m:t>
                      </m:r>
                    </m:e>
                  </m:d>
                </m:e>
              </m:d>
            </m:e>
          </m:func>
          <m:r>
            <m:rPr>
              <m:sty m:val="p"/>
            </m:rPr>
            <w:rPr>
              <w:rFonts w:eastAsiaTheme="minorEastAsia"/>
            </w:rPr>
            <w:br/>
          </m:r>
        </m:oMath>
        <m:oMath>
          <m:r>
            <m:rPr>
              <m:aln/>
            </m:rP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900n-300n≥10000</m:t>
                      </m:r>
                    </m:e>
                  </m:d>
                </m:e>
              </m:d>
            </m:e>
          </m:func>
          <m:r>
            <m:rPr>
              <m:sty m:val="p"/>
            </m:rPr>
            <w:rPr>
              <w:rFonts w:eastAsiaTheme="minorEastAsia"/>
            </w:rPr>
            <w:br/>
          </m:r>
        </m:oMath>
        <m:oMath>
          <m:r>
            <m:rPr>
              <m:aln/>
            </m:rP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600n≥10000</m:t>
                      </m:r>
                    </m:e>
                  </m:d>
                </m:e>
              </m:d>
            </m:e>
          </m:func>
          <m:r>
            <m:rPr>
              <m:sty m:val="p"/>
            </m:rPr>
            <w:rPr>
              <w:rFonts w:eastAsiaTheme="minorEastAsia"/>
            </w:rPr>
            <w:br/>
          </m:r>
        </m:oMath>
        <m:oMath>
          <m:r>
            <m:rPr>
              <m:aln/>
            </m:rP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n</m:t>
                      </m:r>
                      <m:r>
                        <m:rPr>
                          <m:scr m:val="double-struck"/>
                        </m:rPr>
                        <w:rPr>
                          <w:rFonts w:ascii="Cambria Math" w:hAnsi="Cambria Math"/>
                        </w:rPr>
                        <m:t>∈N :</m:t>
                      </m:r>
                      <m:r>
                        <w:rPr>
                          <w:rFonts w:ascii="Cambria Math" w:hAnsi="Cambria Math"/>
                        </w:rPr>
                        <m:t>n≥</m:t>
                      </m:r>
                      <m:f>
                        <m:fPr>
                          <m:ctrlPr>
                            <w:rPr>
                              <w:rFonts w:ascii="Cambria Math" w:hAnsi="Cambria Math"/>
                              <w:i/>
                            </w:rPr>
                          </m:ctrlPr>
                        </m:fPr>
                        <m:num>
                          <m:r>
                            <w:rPr>
                              <w:rFonts w:ascii="Cambria Math" w:hAnsi="Cambria Math"/>
                            </w:rPr>
                            <m:t>10000</m:t>
                          </m:r>
                        </m:num>
                        <m:den>
                          <m:r>
                            <w:rPr>
                              <w:rFonts w:ascii="Cambria Math" w:hAnsi="Cambria Math"/>
                            </w:rPr>
                            <m:t>600</m:t>
                          </m:r>
                        </m:den>
                      </m:f>
                    </m:e>
                  </m:d>
                </m:e>
              </m:d>
            </m:e>
          </m:func>
          <m:r>
            <m:rPr>
              <m:sty m:val="p"/>
            </m:rPr>
            <w:rPr>
              <w:rFonts w:eastAsiaTheme="minorEastAsia"/>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600</m:t>
                  </m:r>
                </m:den>
              </m:f>
            </m:e>
          </m:d>
          <m:r>
            <m:rPr>
              <m:sty m:val="p"/>
            </m:rPr>
            <w:rPr>
              <w:rFonts w:eastAsiaTheme="minorEastAsia"/>
            </w:rPr>
            <w:br/>
          </m:r>
        </m:oMath>
        <m:oMath>
          <m:r>
            <m:rPr>
              <m:aln/>
            </m:rPr>
            <w:rPr>
              <w:rFonts w:ascii="Cambria Math" w:hAnsi="Cambria Math"/>
            </w:rPr>
            <m:t>=17</m:t>
          </m:r>
        </m:oMath>
      </m:oMathPara>
    </w:p>
    <w:p w14:paraId="188E8160" w14:textId="194EE420" w:rsidR="00AC4559" w:rsidRPr="001F477A" w:rsidRDefault="00AC4559" w:rsidP="001F477A">
      <w:pPr>
        <w:pStyle w:val="ListParagraph"/>
        <w:spacing w:line="480" w:lineRule="auto"/>
        <w:rPr>
          <w:rFonts w:eastAsiaTheme="minorEastAsia"/>
        </w:rPr>
      </w:pPr>
      <w:r>
        <w:rPr>
          <w:rFonts w:eastAsiaTheme="minorEastAsia"/>
        </w:rPr>
        <w:t xml:space="preserve">Therefore, 17 </w:t>
      </w:r>
      <w:r>
        <w:rPr>
          <w:kern w:val="0"/>
          <w14:ligatures w14:val="none"/>
        </w:rPr>
        <w:t>paid registrants need to attend for me to break even.</w:t>
      </w:r>
    </w:p>
    <w:sectPr w:rsidR="00AC4559" w:rsidRPr="001F4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C3DB3"/>
    <w:multiLevelType w:val="multilevel"/>
    <w:tmpl w:val="C7C089AE"/>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D2128EF"/>
    <w:multiLevelType w:val="hybridMultilevel"/>
    <w:tmpl w:val="1B70E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4312231">
    <w:abstractNumId w:val="1"/>
  </w:num>
  <w:num w:numId="2" w16cid:durableId="1322999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681D"/>
    <w:rsid w:val="00000965"/>
    <w:rsid w:val="00033930"/>
    <w:rsid w:val="0008737E"/>
    <w:rsid w:val="00092FC0"/>
    <w:rsid w:val="000D1BA3"/>
    <w:rsid w:val="000E6196"/>
    <w:rsid w:val="000F681D"/>
    <w:rsid w:val="00124A68"/>
    <w:rsid w:val="001F477A"/>
    <w:rsid w:val="00210495"/>
    <w:rsid w:val="00265C9F"/>
    <w:rsid w:val="003D766E"/>
    <w:rsid w:val="00476515"/>
    <w:rsid w:val="005136F7"/>
    <w:rsid w:val="0061142F"/>
    <w:rsid w:val="006C0252"/>
    <w:rsid w:val="006C0A81"/>
    <w:rsid w:val="00781726"/>
    <w:rsid w:val="00794C4B"/>
    <w:rsid w:val="009419D6"/>
    <w:rsid w:val="009A5EB7"/>
    <w:rsid w:val="00AC4559"/>
    <w:rsid w:val="00AD2019"/>
    <w:rsid w:val="00C12A20"/>
    <w:rsid w:val="00C64340"/>
    <w:rsid w:val="00CD15FD"/>
    <w:rsid w:val="00DC732F"/>
    <w:rsid w:val="00DE38BC"/>
    <w:rsid w:val="00E64F1D"/>
    <w:rsid w:val="00F33EE2"/>
    <w:rsid w:val="00FA05C4"/>
    <w:rsid w:val="00FB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4413"/>
  <w15:chartTrackingRefBased/>
  <w15:docId w15:val="{1011E0C9-CC6B-4E90-BB8F-ADA8AE20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81D"/>
    <w:rPr>
      <w:rFonts w:eastAsiaTheme="majorEastAsia" w:cstheme="majorBidi"/>
      <w:color w:val="272727" w:themeColor="text1" w:themeTint="D8"/>
    </w:rPr>
  </w:style>
  <w:style w:type="paragraph" w:styleId="Title">
    <w:name w:val="Title"/>
    <w:basedOn w:val="Normal"/>
    <w:next w:val="Normal"/>
    <w:link w:val="TitleChar"/>
    <w:uiPriority w:val="10"/>
    <w:qFormat/>
    <w:rsid w:val="000F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81D"/>
    <w:pPr>
      <w:spacing w:before="160"/>
      <w:jc w:val="center"/>
    </w:pPr>
    <w:rPr>
      <w:i/>
      <w:iCs/>
      <w:color w:val="404040" w:themeColor="text1" w:themeTint="BF"/>
    </w:rPr>
  </w:style>
  <w:style w:type="character" w:customStyle="1" w:styleId="QuoteChar">
    <w:name w:val="Quote Char"/>
    <w:basedOn w:val="DefaultParagraphFont"/>
    <w:link w:val="Quote"/>
    <w:uiPriority w:val="29"/>
    <w:rsid w:val="000F681D"/>
    <w:rPr>
      <w:i/>
      <w:iCs/>
      <w:color w:val="404040" w:themeColor="text1" w:themeTint="BF"/>
    </w:rPr>
  </w:style>
  <w:style w:type="paragraph" w:styleId="ListParagraph">
    <w:name w:val="List Paragraph"/>
    <w:basedOn w:val="Normal"/>
    <w:uiPriority w:val="34"/>
    <w:qFormat/>
    <w:rsid w:val="000F681D"/>
    <w:pPr>
      <w:ind w:left="720"/>
      <w:contextualSpacing/>
    </w:pPr>
  </w:style>
  <w:style w:type="character" w:styleId="IntenseEmphasis">
    <w:name w:val="Intense Emphasis"/>
    <w:basedOn w:val="DefaultParagraphFont"/>
    <w:uiPriority w:val="21"/>
    <w:qFormat/>
    <w:rsid w:val="000F681D"/>
    <w:rPr>
      <w:i/>
      <w:iCs/>
      <w:color w:val="0F4761" w:themeColor="accent1" w:themeShade="BF"/>
    </w:rPr>
  </w:style>
  <w:style w:type="paragraph" w:styleId="IntenseQuote">
    <w:name w:val="Intense Quote"/>
    <w:basedOn w:val="Normal"/>
    <w:next w:val="Normal"/>
    <w:link w:val="IntenseQuoteChar"/>
    <w:uiPriority w:val="30"/>
    <w:qFormat/>
    <w:rsid w:val="000F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81D"/>
    <w:rPr>
      <w:i/>
      <w:iCs/>
      <w:color w:val="0F4761" w:themeColor="accent1" w:themeShade="BF"/>
    </w:rPr>
  </w:style>
  <w:style w:type="character" w:styleId="IntenseReference">
    <w:name w:val="Intense Reference"/>
    <w:basedOn w:val="DefaultParagraphFont"/>
    <w:uiPriority w:val="32"/>
    <w:qFormat/>
    <w:rsid w:val="000F681D"/>
    <w:rPr>
      <w:b/>
      <w:bCs/>
      <w:smallCaps/>
      <w:color w:val="0F4761" w:themeColor="accent1" w:themeShade="BF"/>
      <w:spacing w:val="5"/>
    </w:rPr>
  </w:style>
  <w:style w:type="character" w:styleId="PlaceholderText">
    <w:name w:val="Placeholder Text"/>
    <w:basedOn w:val="DefaultParagraphFont"/>
    <w:uiPriority w:val="99"/>
    <w:semiHidden/>
    <w:rsid w:val="000339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4761-5451-4EA3-B78E-7E20C9C9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Insights Touch</dc:creator>
  <cp:keywords/>
  <dc:description/>
  <cp:lastModifiedBy>Zakaria Zerrouki</cp:lastModifiedBy>
  <cp:revision>20</cp:revision>
  <dcterms:created xsi:type="dcterms:W3CDTF">2024-04-30T10:17:00Z</dcterms:created>
  <dcterms:modified xsi:type="dcterms:W3CDTF">2024-05-03T05:33:00Z</dcterms:modified>
</cp:coreProperties>
</file>