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SMART Security Test Automation — Knowledge Transfer &amp; Onboarding Guide</w:t>
      </w:r>
    </w:p>
    <w:p>
      <w:pPr>
        <w:spacing w:after="40"/>
      </w:pPr>
      <w:r>
        <w:rPr>
          <w:b/>
          <w:bCs/>
        </w:rPr>
        <w:t xml:space="preserve">Framework: </w:t>
      </w:r>
      <w:r>
        <w:rPr>
          <w:rFonts w:ascii="Consolas" w:cs="Consolas" w:eastAsia="Consolas" w:hAnsi="Consolas"/>
        </w:rPr>
        <w:t xml:space="preserve">SMART Security Test Automation</w:t>
      </w:r>
    </w:p>
    <w:p>
      <w:pPr>
        <w:spacing w:after="40"/>
      </w:pPr>
      <w:r>
        <w:rPr>
          <w:b/>
          <w:bCs/>
        </w:rPr>
        <w:t xml:space="preserve">Repository: </w:t>
      </w:r>
      <w:r>
        <w:rPr>
          <w:rFonts w:ascii="Consolas" w:cs="Consolas" w:eastAsia="Consolas" w:hAnsi="Consolas"/>
        </w:rPr>
        <w:t xml:space="preserve">qa-smart-security-automation</w:t>
      </w:r>
    </w:p>
    <w:p>
      <w:pPr>
        <w:pBdr>
          <w:left w:val="single" w:color="888888" w:sz="18" w:space="8"/>
        </w:pBdr>
        <w:shd w:fill="F2F2F2" w:val="clear"/>
        <w:spacing w:after="200" w:before="200"/>
        <w:ind w:left="120"/>
      </w:pPr>
      <w:r>
        <w:rPr>
          <w:i/>
          <w:iCs/>
        </w:rPr>
        <w:t xml:space="preserve">Note to distributor: Fill in the [bracketed] items (repo URL, ADO plan/pipeline names, environment URLs, and the values the incoming team will need) before sending. The final section lists everything that needs completing. Delete this note before distribution.</w:t>
      </w:r>
    </w:p>
    <w:p>
      <w:pPr>
        <w:pStyle w:val="Heading1"/>
        <w:spacing w:after="100" w:before="260"/>
      </w:pPr>
      <w:r>
        <w:t xml:space="preserve">About this document</w:t>
      </w:r>
    </w:p>
    <w:p>
      <w:pPr>
        <w:spacing w:after="140"/>
        <w:jc w:val="left"/>
      </w:pPr>
      <w:r>
        <w:t xml:space="preserve">This is a self-contained reference for the incoming team taking over execution of the SMART Security test automation suite. It covers the six areas requested: framework architecture and setup, how the UI/API/Database test cases are structured, execution and reporting, Azure DevOps integration, environment configuration, and the CI/CD pipeline.</w:t>
      </w:r>
    </w:p>
    <w:p>
      <w:pPr>
        <w:spacing w:after="140"/>
        <w:jc w:val="left"/>
      </w:pPr>
      <w:r>
        <w:t xml:space="preserve">The suite is the automated QA framework for </w:t>
      </w:r>
      <w:r>
        <w:rPr>
          <w:b/>
          <w:bCs/>
        </w:rPr>
        <w:t xml:space="preserve">SMART Security</w:t>
      </w:r>
      <w:r>
        <w:t xml:space="preserve"> — HealthTrust’s authorization platform that decouples the supply-chain "SMART Mod" apps from the legacy PASS system. It validates the application across </w:t>
      </w:r>
      <w:r>
        <w:rPr>
          <w:b/>
          <w:bCs/>
        </w:rPr>
        <w:t xml:space="preserve">three layers — UI, API, and Database</w:t>
      </w:r>
      <w:r>
        <w:t xml:space="preserve"> — and reports results back to Azure DevOps.</w:t>
      </w:r>
    </w:p>
    <w:p>
      <w:pPr>
        <w:pStyle w:val="Heading1"/>
        <w:spacing w:after="100" w:before="260"/>
      </w:pPr>
      <w:r>
        <w:t xml:space="preserve">Before you begin</w:t>
      </w:r>
    </w:p>
    <w:p>
      <w:pPr>
        <w:spacing w:after="140"/>
        <w:jc w:val="left"/>
      </w:pPr>
      <w:r>
        <w:t xml:space="preserve">To get a working local run, you will need:</w:t>
      </w:r>
    </w:p>
    <w:p>
      <w:pPr>
        <w:pStyle w:val="ListParagraph"/>
        <w:numPr>
          <w:ilvl w:val="0"/>
          <w:numId w:val="1"/>
        </w:numPr>
        <w:spacing w:after="80"/>
      </w:pPr>
      <w:r>
        <w:rPr>
          <w:b/>
          <w:bCs/>
        </w:rPr>
        <w:t xml:space="preserve">.NET 10 SDK</w:t>
      </w:r>
      <w:r>
        <w:t xml:space="preserve"> and an IDE (Visual Studio or Rider)</w:t>
      </w:r>
    </w:p>
    <w:p>
      <w:pPr>
        <w:pStyle w:val="ListParagraph"/>
        <w:numPr>
          <w:ilvl w:val="0"/>
          <w:numId w:val="1"/>
        </w:numPr>
        <w:spacing w:after="80"/>
      </w:pPr>
      <w:r>
        <w:rPr>
          <w:b/>
          <w:bCs/>
        </w:rPr>
        <w:t xml:space="preserve">Chrome</w:t>
      </w:r>
      <w:r>
        <w:t xml:space="preserve"> — note that a chromedriver is committed to the repo; if it does not match your installed Chrome version you will need to update it (see Environment configuration)</w:t>
      </w:r>
    </w:p>
    <w:p>
      <w:pPr>
        <w:pStyle w:val="ListParagraph"/>
        <w:numPr>
          <w:ilvl w:val="0"/>
          <w:numId w:val="1"/>
        </w:numPr>
        <w:spacing w:after="80"/>
      </w:pPr>
      <w:r>
        <w:rPr>
          <w:b/>
          <w:bCs/>
        </w:rPr>
        <w:t xml:space="preserve">Repository access:</w:t>
      </w:r>
      <w:r>
        <w:t xml:space="preserve"> [repo URL / branch]</w:t>
      </w:r>
    </w:p>
    <w:p>
      <w:pPr>
        <w:pStyle w:val="ListParagraph"/>
        <w:numPr>
          <w:ilvl w:val="0"/>
          <w:numId w:val="1"/>
        </w:numPr>
        <w:spacing w:after="80"/>
      </w:pPr>
      <w:r>
        <w:rPr>
          <w:rFonts w:ascii="Consolas" w:cs="Consolas" w:eastAsia="Consolas" w:hAnsi="Consolas"/>
          <w:b/>
          <w:bCs/>
        </w:rPr>
        <w:t xml:space="preserve">local.runsettings</w:t>
      </w:r>
      <w:r>
        <w:rPr>
          <w:b/>
          <w:bCs/>
        </w:rPr>
        <w:t xml:space="preserve"> values</w:t>
      </w:r>
      <w:r>
        <w:t xml:space="preserve"> — this file holds the environment and PAT settings and is intentionally </w:t>
      </w:r>
      <w:r>
        <w:rPr>
          <w:b/>
          <w:bCs/>
        </w:rPr>
        <w:t xml:space="preserve">not</w:t>
      </w:r>
      <w:r>
        <w:t xml:space="preserve"> in source control, so a fresh clone will not include it. Request the current </w:t>
      </w:r>
      <w:r>
        <w:rPr>
          <w:rFonts w:ascii="Consolas" w:cs="Consolas" w:eastAsia="Consolas" w:hAnsi="Consolas"/>
        </w:rPr>
        <w:t xml:space="preserve">Environment</w:t>
      </w:r>
      <w:r>
        <w:t xml:space="preserve"> and </w:t>
      </w:r>
      <w:r>
        <w:rPr>
          <w:rFonts w:ascii="Consolas" w:cs="Consolas" w:eastAsia="Consolas" w:hAnsi="Consolas"/>
        </w:rPr>
        <w:t xml:space="preserve">PatKey</w:t>
      </w:r>
      <w:r>
        <w:t xml:space="preserve"> values, and the environment URLs, from the HealthTrust team before your first run.</w:t>
      </w:r>
    </w:p>
    <w:p>
      <w:pPr>
        <w:pStyle w:val="Heading1"/>
        <w:spacing w:after="100" w:before="260"/>
      </w:pPr>
      <w:r>
        <w:t xml:space="preserve">The application under test</w:t>
      </w:r>
    </w:p>
    <w:p>
      <w:pPr>
        <w:spacing w:after="140"/>
        <w:jc w:val="left"/>
      </w:pPr>
      <w:r>
        <w:t xml:space="preserve">SMART Security lets administrators (LACs) grant internal and external users access by assigning </w:t>
      </w:r>
      <w:r>
        <w:rPr>
          <w:b/>
          <w:bCs/>
        </w:rPr>
        <w:t xml:space="preserve">roles, span of control, and vendor affiliation</w:t>
      </w:r>
      <w:r>
        <w:t xml:space="preserve">. It has two halves, and the framework mirrors that split:</w:t>
      </w:r>
    </w:p>
    <w:p>
      <w:pPr>
        <w:pStyle w:val="ListParagraph"/>
        <w:numPr>
          <w:ilvl w:val="0"/>
          <w:numId w:val="1"/>
        </w:numPr>
        <w:spacing w:after="80"/>
      </w:pPr>
      <w:r>
        <w:rPr>
          <w:b/>
          <w:bCs/>
        </w:rPr>
        <w:t xml:space="preserve">SMART Authorization</w:t>
      </w:r>
      <w:r>
        <w:t xml:space="preserve"> — the admin experience (the Security Management web UI), where LACs assign and unassign roles, span of control, and vendor affiliation.</w:t>
      </w:r>
    </w:p>
    <w:p>
      <w:pPr>
        <w:pStyle w:val="ListParagraph"/>
        <w:numPr>
          <w:ilvl w:val="0"/>
          <w:numId w:val="1"/>
        </w:numPr>
        <w:spacing w:after="80"/>
      </w:pPr>
      <w:r>
        <w:rPr>
          <w:b/>
          <w:bCs/>
        </w:rPr>
        <w:t xml:space="preserve">SMART Client Authorization</w:t>
      </w:r>
      <w:r>
        <w:t xml:space="preserve"> — the service layer that other SMART Mod apps call to determine what a user is authorized for.</w:t>
      </w:r>
    </w:p>
    <w:p>
      <w:pPr>
        <w:spacing w:after="140"/>
        <w:jc w:val="left"/>
      </w:pPr>
      <w:r>
        <w:t xml:space="preserve">User lookup cascades </w:t>
      </w:r>
      <w:r>
        <w:rPr>
          <w:b/>
          <w:bCs/>
        </w:rPr>
        <w:t xml:space="preserve">SMART Security → HCA Active Directory → Lifepoint Active Directory</w:t>
      </w:r>
      <w:r>
        <w:t xml:space="preserve">, and </w:t>
      </w:r>
      <w:r>
        <w:rPr>
          <w:b/>
          <w:bCs/>
        </w:rPr>
        <w:t xml:space="preserve">email is the unique identifier</w:t>
      </w:r>
      <w:r>
        <w:t xml:space="preserve"> for every user. Several tests depend on this behavior.</w:t>
      </w:r>
    </w:p>
    <w:p>
      <w:pPr>
        <w:pStyle w:val="Heading1"/>
        <w:spacing w:after="100" w:before="260"/>
      </w:pPr>
      <w:r>
        <w:t xml:space="preserve">1. Framework architecture, components, dependencies, and setup</w:t>
      </w:r>
    </w:p>
    <w:p>
      <w:pPr>
        <w:spacing w:after="140"/>
        <w:jc w:val="left"/>
      </w:pPr>
      <w:r>
        <w:rPr>
          <w:b/>
          <w:bCs/>
        </w:rPr>
        <w:t xml:space="preserve">Stack:</w:t>
      </w:r>
      <w:r>
        <w:t xml:space="preserve"> .NET 10 / C#, Selenium 4 (UI), xUnit (test runner), and RestSharp (API).</w:t>
      </w:r>
    </w:p>
    <w:p>
      <w:pPr>
        <w:spacing w:after="140"/>
        <w:jc w:val="left"/>
      </w:pPr>
      <w:r>
        <w:t xml:space="preserve">The main project is </w:t>
      </w:r>
      <w:r>
        <w:rPr>
          <w:rFonts w:ascii="Consolas" w:cs="Consolas" w:eastAsia="Consolas" w:hAnsi="Consolas"/>
          <w:b/>
          <w:bCs/>
        </w:rPr>
        <w:t xml:space="preserve">SmartSecurityTestAutomation</w:t>
      </w:r>
      <w:r>
        <w:t xml:space="preserve">. Key folders and files:</w:t>
      </w:r>
    </w:p>
    <w:p>
      <w:pPr>
        <w:pStyle w:val="ListParagraph"/>
        <w:numPr>
          <w:ilvl w:val="0"/>
          <w:numId w:val="1"/>
        </w:numPr>
        <w:spacing w:after="80"/>
      </w:pPr>
      <w:r>
        <w:rPr>
          <w:rFonts w:ascii="Consolas" w:cs="Consolas" w:eastAsia="Consolas" w:hAnsi="Consolas"/>
        </w:rPr>
        <w:t xml:space="preserve">Tests/</w:t>
      </w:r>
      <w:r>
        <w:t xml:space="preserve"> — the xUnit test classes</w:t>
      </w:r>
    </w:p>
    <w:p>
      <w:pPr>
        <w:pStyle w:val="ListParagraph"/>
        <w:numPr>
          <w:ilvl w:val="0"/>
          <w:numId w:val="1"/>
        </w:numPr>
        <w:spacing w:after="80"/>
      </w:pPr>
      <w:r>
        <w:rPr>
          <w:rFonts w:ascii="Consolas" w:cs="Consolas" w:eastAsia="Consolas" w:hAnsi="Consolas"/>
        </w:rPr>
        <w:t xml:space="preserve">Page.Objects/</w:t>
      </w:r>
      <w:r>
        <w:t xml:space="preserve"> — Selenium page objects for the Security Management UI</w:t>
      </w:r>
    </w:p>
    <w:p>
      <w:pPr>
        <w:pStyle w:val="ListParagraph"/>
        <w:numPr>
          <w:ilvl w:val="0"/>
          <w:numId w:val="1"/>
        </w:numPr>
        <w:spacing w:after="80"/>
      </w:pPr>
      <w:r>
        <w:rPr>
          <w:rFonts w:ascii="Consolas" w:cs="Consolas" w:eastAsia="Consolas" w:hAnsi="Consolas"/>
        </w:rPr>
        <w:t xml:space="preserve">Services/</w:t>
      </w:r>
      <w:r>
        <w:t xml:space="preserve"> — organized </w:t>
      </w:r>
      <w:r>
        <w:rPr>
          <w:b/>
          <w:bCs/>
        </w:rPr>
        <w:t xml:space="preserve">by domain</w:t>
      </w:r>
      <w:r>
        <w:t xml:space="preserve">, each domain following the same repeating pattern (described in the next section)</w:t>
      </w:r>
    </w:p>
    <w:p>
      <w:pPr>
        <w:pStyle w:val="ListParagraph"/>
        <w:numPr>
          <w:ilvl w:val="0"/>
          <w:numId w:val="1"/>
        </w:numPr>
        <w:spacing w:after="80"/>
      </w:pPr>
      <w:r>
        <w:rPr>
          <w:rFonts w:ascii="Consolas" w:cs="Consolas" w:eastAsia="Consolas" w:hAnsi="Consolas"/>
        </w:rPr>
        <w:t xml:space="preserve">Models/</w:t>
      </w:r>
      <w:r>
        <w:t xml:space="preserve">, </w:t>
      </w:r>
      <w:r>
        <w:rPr>
          <w:rFonts w:ascii="Consolas" w:cs="Consolas" w:eastAsia="Consolas" w:hAnsi="Consolas"/>
        </w:rPr>
        <w:t xml:space="preserve">Enums/</w:t>
      </w:r>
      <w:r>
        <w:t xml:space="preserve">, </w:t>
      </w:r>
      <w:r>
        <w:rPr>
          <w:rFonts w:ascii="Consolas" w:cs="Consolas" w:eastAsia="Consolas" w:hAnsi="Consolas"/>
        </w:rPr>
        <w:t xml:space="preserve">GlobalUsing.cs</w:t>
      </w:r>
    </w:p>
    <w:p>
      <w:pPr>
        <w:pStyle w:val="ListParagraph"/>
        <w:numPr>
          <w:ilvl w:val="0"/>
          <w:numId w:val="1"/>
        </w:numPr>
        <w:spacing w:after="80"/>
      </w:pPr>
      <w:r>
        <w:rPr>
          <w:rFonts w:ascii="Consolas" w:cs="Consolas" w:eastAsia="Consolas" w:hAnsi="Consolas"/>
        </w:rPr>
        <w:t xml:space="preserve">Utilities/</w:t>
      </w:r>
      <w:r>
        <w:t xml:space="preserve"> — shared helpers</w:t>
      </w:r>
    </w:p>
    <w:p>
      <w:pPr>
        <w:pStyle w:val="ListParagraph"/>
        <w:numPr>
          <w:ilvl w:val="0"/>
          <w:numId w:val="1"/>
        </w:numPr>
        <w:spacing w:after="80"/>
      </w:pPr>
      <w:r>
        <w:rPr>
          <w:rFonts w:ascii="Consolas" w:cs="Consolas" w:eastAsia="Consolas" w:hAnsi="Consolas"/>
        </w:rPr>
        <w:t xml:space="preserve">TestMaster.cs</w:t>
      </w:r>
      <w:r>
        <w:t xml:space="preserve"> and </w:t>
      </w:r>
      <w:r>
        <w:rPr>
          <w:rFonts w:ascii="Consolas" w:cs="Consolas" w:eastAsia="Consolas" w:hAnsi="Consolas"/>
        </w:rPr>
        <w:t xml:space="preserve">MasterApi.cs</w:t>
      </w:r>
      <w:r>
        <w:t xml:space="preserve"> — the shared setup / orchestration entry points for UI and API runs</w:t>
      </w:r>
    </w:p>
    <w:p>
      <w:pPr>
        <w:spacing w:after="140"/>
        <w:jc w:val="left"/>
      </w:pPr>
      <w:r>
        <w:t xml:space="preserve">The repository also includes </w:t>
      </w:r>
      <w:r>
        <w:rPr>
          <w:rFonts w:ascii="Consolas" w:cs="Consolas" w:eastAsia="Consolas" w:hAnsi="Consolas"/>
          <w:b/>
          <w:bCs/>
        </w:rPr>
        <w:t xml:space="preserve">SMARTSecurityNotebook</w:t>
      </w:r>
      <w:r>
        <w:t xml:space="preserve">, a reference notebook for the suite.</w:t>
      </w:r>
    </w:p>
    <w:p>
      <w:pPr>
        <w:spacing w:after="140"/>
        <w:jc w:val="left"/>
      </w:pPr>
      <w:r>
        <w:t xml:space="preserve">Setup prerequisites are listed under </w:t>
      </w:r>
      <w:r>
        <w:rPr>
          <w:i/>
          <w:iCs/>
        </w:rPr>
        <w:t xml:space="preserve">Before you begin</w:t>
      </w:r>
      <w:r>
        <w:t xml:space="preserve">.</w:t>
      </w:r>
    </w:p>
    <w:p>
      <w:pPr>
        <w:pStyle w:val="Heading1"/>
        <w:spacing w:after="100" w:before="260"/>
      </w:pPr>
      <w:r>
        <w:t xml:space="preserve">2. How UI, API, and Database test cases are structured</w:t>
      </w:r>
    </w:p>
    <w:p>
      <w:pPr>
        <w:spacing w:after="140"/>
        <w:jc w:val="left"/>
      </w:pPr>
      <w:r>
        <w:t xml:space="preserve">The framework validates three layers:</w:t>
      </w:r>
    </w:p>
    <w:p>
      <w:pPr>
        <w:pStyle w:val="ListParagraph"/>
        <w:numPr>
          <w:ilvl w:val="0"/>
          <w:numId w:val="1"/>
        </w:numPr>
        <w:spacing w:after="80"/>
      </w:pPr>
      <w:r>
        <w:rPr>
          <w:b/>
          <w:bCs/>
        </w:rPr>
        <w:t xml:space="preserve">UI (Selenium 4)</w:t>
      </w:r>
      <w:r>
        <w:t xml:space="preserve"> — page-object driven against the Security Management UI: smoke, role assignment, user creation, deactivate/reactivate. Approximately 11 top-level test methods.</w:t>
      </w:r>
    </w:p>
    <w:p>
      <w:pPr>
        <w:pStyle w:val="ListParagraph"/>
        <w:numPr>
          <w:ilvl w:val="0"/>
          <w:numId w:val="1"/>
        </w:numPr>
        <w:spacing w:after="80"/>
      </w:pPr>
      <w:r>
        <w:rPr>
          <w:b/>
          <w:bCs/>
        </w:rPr>
        <w:t xml:space="preserve">API (RestSharp)</w:t>
      </w:r>
      <w:r>
        <w:t xml:space="preserve"> — exercises both the Authorization and Client-Authorization APIs: users, orgs, applications, vendors, tokens, and audit history. Approximately 13 top-level test methods.</w:t>
      </w:r>
    </w:p>
    <w:p>
      <w:pPr>
        <w:pStyle w:val="ListParagraph"/>
        <w:numPr>
          <w:ilvl w:val="0"/>
          <w:numId w:val="1"/>
        </w:numPr>
        <w:spacing w:after="80"/>
      </w:pPr>
      <w:r>
        <w:rPr>
          <w:b/>
          <w:bCs/>
        </w:rPr>
        <w:t xml:space="preserve">Database</w:t>
      </w:r>
      <w:r>
        <w:t xml:space="preserve"> — SQL repositories confirm that what the application writes lands correctly in the data store. Approximately 3 top-level test methods.</w:t>
      </w:r>
    </w:p>
    <w:p>
      <w:pPr>
        <w:spacing w:after="140"/>
        <w:jc w:val="left"/>
      </w:pPr>
      <w:r>
        <w:t xml:space="preserve">The method counts above are top-level </w:t>
      </w:r>
      <w:r>
        <w:rPr>
          <w:rFonts w:ascii="Consolas" w:cs="Consolas" w:eastAsia="Consolas" w:hAnsi="Consolas"/>
        </w:rPr>
        <w:t xml:space="preserve">[Fact]</w:t>
      </w:r>
      <w:r>
        <w:t xml:space="preserve">/</w:t>
      </w:r>
      <w:r>
        <w:rPr>
          <w:rFonts w:ascii="Consolas" w:cs="Consolas" w:eastAsia="Consolas" w:hAnsi="Consolas"/>
        </w:rPr>
        <w:t xml:space="preserve">[Theory]</w:t>
      </w:r>
      <w:r>
        <w:t xml:space="preserve"> methods; several run multiple sub-scenarios internally, so the effective assertion count is higher.</w:t>
      </w:r>
    </w:p>
    <w:p>
      <w:pPr>
        <w:spacing w:after="140"/>
        <w:jc w:val="left"/>
      </w:pPr>
      <w:r>
        <w:rPr>
          <w:b/>
          <w:bCs/>
        </w:rPr>
        <w:t xml:space="preserve">Each API test asserts at three levels.</w:t>
      </w:r>
      <w:r>
        <w:t xml:space="preserve"> They run in order, so the level that fails tells you where the contract broke:</w:t>
      </w:r>
    </w:p>
    <w:p>
      <w:pPr>
        <w:pStyle w:val="ListParagraph"/>
        <w:numPr>
          <w:ilvl w:val="0"/>
          <w:numId w:val="1"/>
        </w:numPr>
        <w:spacing w:after="80"/>
      </w:pPr>
      <w:r>
        <w:rPr>
          <w:b/>
          <w:bCs/>
        </w:rPr>
        <w:t xml:space="preserve">Status code check</w:t>
      </w:r>
      <w:r>
        <w:t xml:space="preserve"> — confirms the endpoint returns the expected HTTP status (for example, 200 on a successful lookup, or 401/403 when access should be denied). This is the first gate: a broken route, a failed auth token, or an unavailable environment surfaces here before the response body is ever inspected.</w:t>
      </w:r>
    </w:p>
    <w:p>
      <w:pPr>
        <w:pStyle w:val="ListParagraph"/>
        <w:numPr>
          <w:ilvl w:val="0"/>
          <w:numId w:val="1"/>
        </w:numPr>
        <w:spacing w:after="80"/>
      </w:pPr>
      <w:r>
        <w:rPr>
          <w:b/>
          <w:bCs/>
        </w:rPr>
        <w:t xml:space="preserve">Schema validation</w:t>
      </w:r>
      <w:r>
        <w:t xml:space="preserve"> — verifies the response payload matches the expected model shape, i.e. the domain's response model (for example, </w:t>
      </w:r>
      <w:r>
        <w:rPr>
          <w:rFonts w:ascii="Consolas" w:cs="Consolas" w:eastAsia="Consolas" w:hAnsi="Consolas"/>
        </w:rPr>
        <w:t xml:space="preserve">UserResponse.cs</w:t>
      </w:r>
      <w:r>
        <w:t xml:space="preserve">). It checks that required fields are present and correctly typed and that the contract has not drifted — catching structural changes even when the values themselves look plausible.</w:t>
      </w:r>
    </w:p>
    <w:p>
      <w:pPr>
        <w:pStyle w:val="ListParagraph"/>
        <w:numPr>
          <w:ilvl w:val="0"/>
          <w:numId w:val="1"/>
        </w:numPr>
        <w:spacing w:after="80"/>
      </w:pPr>
      <w:r>
        <w:rPr>
          <w:b/>
          <w:bCs/>
        </w:rPr>
        <w:t xml:space="preserve">Data validation</w:t>
      </w:r>
      <w:r>
        <w:t xml:space="preserve"> — asserts that the actual values returned are correct: the right user, roles, span of control, or vendor affiliation. A response can pass the status and schema checks and still carry the wrong data, so this level confirms the API returns not just a well-formed response but the right one.</w:t>
      </w:r>
    </w:p>
    <w:p>
      <w:pPr>
        <w:spacing w:after="140"/>
        <w:jc w:val="left"/>
      </w:pPr>
      <w:r>
        <w:rPr>
          <w:b/>
          <w:bCs/>
        </w:rPr>
        <w:t xml:space="preserve">The Services domain pattern is the key to reading the codebase.</w:t>
      </w:r>
      <w:r>
        <w:t xml:space="preserve"> Each domain under </w:t>
      </w:r>
      <w:r>
        <w:rPr>
          <w:rFonts w:ascii="Consolas" w:cs="Consolas" w:eastAsia="Consolas" w:hAnsi="Consolas"/>
        </w:rPr>
        <w:t xml:space="preserve">Services/</w:t>
      </w:r>
      <w:r>
        <w:t xml:space="preserve"> repeats the same three-file shape. Using the </w:t>
      </w:r>
      <w:r>
        <w:rPr>
          <w:b/>
          <w:bCs/>
        </w:rPr>
        <w:t xml:space="preserve">Users</w:t>
      </w:r>
      <w:r>
        <w:t xml:space="preserve"> domain as the example:</w:t>
      </w:r>
    </w:p>
    <w:p>
      <w:pPr>
        <w:pStyle w:val="ListParagraph"/>
        <w:numPr>
          <w:ilvl w:val="0"/>
          <w:numId w:val="1"/>
        </w:numPr>
        <w:spacing w:after="80"/>
      </w:pPr>
      <w:r>
        <w:rPr>
          <w:rFonts w:ascii="Consolas" w:cs="Consolas" w:eastAsia="Consolas" w:hAnsi="Consolas"/>
        </w:rPr>
        <w:t xml:space="preserve">UserApi.cs</w:t>
      </w:r>
      <w:r>
        <w:t xml:space="preserve"> — the API calls for that domain</w:t>
      </w:r>
    </w:p>
    <w:p>
      <w:pPr>
        <w:pStyle w:val="ListParagraph"/>
        <w:numPr>
          <w:ilvl w:val="0"/>
          <w:numId w:val="1"/>
        </w:numPr>
        <w:spacing w:after="80"/>
      </w:pPr>
      <w:r>
        <w:rPr>
          <w:rFonts w:ascii="Consolas" w:cs="Consolas" w:eastAsia="Consolas" w:hAnsi="Consolas"/>
        </w:rPr>
        <w:t xml:space="preserve">UserRepository.cs</w:t>
      </w:r>
      <w:r>
        <w:t xml:space="preserve"> — the database access for that domain</w:t>
      </w:r>
    </w:p>
    <w:p>
      <w:pPr>
        <w:pStyle w:val="ListParagraph"/>
        <w:numPr>
          <w:ilvl w:val="0"/>
          <w:numId w:val="1"/>
        </w:numPr>
        <w:spacing w:after="80"/>
      </w:pPr>
      <w:r>
        <w:rPr>
          <w:rFonts w:ascii="Consolas" w:cs="Consolas" w:eastAsia="Consolas" w:hAnsi="Consolas"/>
        </w:rPr>
        <w:t xml:space="preserve">UserResponse.cs</w:t>
      </w:r>
      <w:r>
        <w:t xml:space="preserve"> — the response model</w:t>
      </w:r>
    </w:p>
    <w:p>
      <w:pPr>
        <w:spacing w:after="140"/>
        <w:jc w:val="left"/>
      </w:pPr>
      <w:r>
        <w:t xml:space="preserve">Once this pattern is clear for one domain, every other domain (orgs, vendors, applications, and so on) follows the same structure. Tracing the Users domain end to end is the fastest way to understand how the whole suite is organized.</w:t>
      </w:r>
    </w:p>
    <w:p>
      <w:pPr>
        <w:pStyle w:val="Heading1"/>
        <w:spacing w:after="100" w:before="260"/>
      </w:pPr>
      <w:r>
        <w:t xml:space="preserve">3. Test execution, reporting, and logging</w:t>
      </w:r>
    </w:p>
    <w:p>
      <w:pPr>
        <w:spacing w:after="140"/>
        <w:jc w:val="left"/>
      </w:pPr>
      <w:r>
        <w:t xml:space="preserve">Tests run through the xUnit runner — a single test, a filtered subset by trait/category, or the full suite. </w:t>
      </w:r>
      <w:r>
        <w:rPr>
          <w:rFonts w:ascii="Consolas" w:cs="Consolas" w:eastAsia="Consolas" w:hAnsi="Consolas"/>
        </w:rPr>
        <w:t xml:space="preserve">TestMaster.cs</w:t>
      </w:r>
      <w:r>
        <w:t xml:space="preserve"> and </w:t>
      </w:r>
      <w:r>
        <w:rPr>
          <w:rFonts w:ascii="Consolas" w:cs="Consolas" w:eastAsia="Consolas" w:hAnsi="Consolas"/>
        </w:rPr>
        <w:t xml:space="preserve">MasterApi.cs</w:t>
      </w:r>
      <w:r>
        <w:t xml:space="preserve"> provide the shared setup and follow an auth → act → assert → report flow.</w:t>
      </w:r>
    </w:p>
    <w:p>
      <w:pPr>
        <w:spacing w:after="140"/>
        <w:jc w:val="left"/>
      </w:pPr>
      <w:r>
        <w:t xml:space="preserve">Results report back to Azure DevOps test plans (see the next section). Logging is the primary tool for triage; when a failure occurs, the logs are what distinguish a genuine regression from an environment, authentication, or data issue — the latter being common here given the Active Directory lookup cascade.</w:t>
      </w:r>
    </w:p>
    <w:p>
      <w:pPr>
        <w:pStyle w:val="Heading1"/>
        <w:spacing w:after="100" w:before="260"/>
      </w:pPr>
      <w:r>
        <w:t xml:space="preserve">4. Azure DevOps integration and execution workflow</w:t>
      </w:r>
    </w:p>
    <w:p>
      <w:pPr>
        <w:spacing w:after="140"/>
        <w:jc w:val="left"/>
      </w:pPr>
      <w:r>
        <w:t xml:space="preserve">Test results write back automatically to Azure DevOps test plans — [confirm exact plan name, e.g. "SMART-Security – Regression"] — and to a TASC time-savings tracker. [ADO project / area path]</w:t>
      </w:r>
    </w:p>
    <w:p>
      <w:pPr>
        <w:spacing w:after="140"/>
        <w:jc w:val="left"/>
      </w:pPr>
      <w:r>
        <w:t xml:space="preserve">This is where run results are managed and tracked over time.</w:t>
      </w:r>
    </w:p>
    <w:p>
      <w:pPr>
        <w:pStyle w:val="Heading1"/>
        <w:spacing w:after="100" w:before="260"/>
      </w:pPr>
      <w:r>
        <w:t xml:space="preserve">5. Environment configuration and management</w:t>
      </w:r>
    </w:p>
    <w:p>
      <w:pPr>
        <w:spacing w:after="140"/>
        <w:jc w:val="left"/>
      </w:pPr>
      <w:r>
        <w:t xml:space="preserve">Two specifics matter most:</w:t>
      </w:r>
    </w:p>
    <w:p>
      <w:pPr>
        <w:pStyle w:val="ListParagraph"/>
        <w:numPr>
          <w:ilvl w:val="0"/>
          <w:numId w:val="2"/>
        </w:numPr>
        <w:spacing w:after="80"/>
      </w:pPr>
      <w:r>
        <w:rPr>
          <w:rFonts w:ascii="Consolas" w:cs="Consolas" w:eastAsia="Consolas" w:hAnsi="Consolas"/>
          <w:b/>
          <w:bCs/>
        </w:rPr>
        <w:t xml:space="preserve">local.runsettings</w:t>
      </w:r>
      <w:r>
        <w:t xml:space="preserve"> holds the </w:t>
      </w:r>
      <w:r>
        <w:rPr>
          <w:rFonts w:ascii="Consolas" w:cs="Consolas" w:eastAsia="Consolas" w:hAnsi="Consolas"/>
        </w:rPr>
        <w:t xml:space="preserve">Environment</w:t>
      </w:r>
      <w:r>
        <w:t xml:space="preserve"> and </w:t>
      </w:r>
      <w:r>
        <w:rPr>
          <w:rFonts w:ascii="Consolas" w:cs="Consolas" w:eastAsia="Consolas" w:hAnsi="Consolas"/>
        </w:rPr>
        <w:t xml:space="preserve">PatKey</w:t>
      </w:r>
      <w:r>
        <w:t xml:space="preserve"> values and is intentionally excluded from source control. A fresh clone will not contain it, so these values must be obtained from the HealthTrust team and the file created locally. [environment names / URLs]</w:t>
      </w:r>
    </w:p>
    <w:p>
      <w:pPr>
        <w:pStyle w:val="ListParagraph"/>
        <w:numPr>
          <w:ilvl w:val="0"/>
          <w:numId w:val="2"/>
        </w:numPr>
        <w:spacing w:after="80"/>
      </w:pPr>
      <w:r>
        <w:rPr>
          <w:b/>
          <w:bCs/>
        </w:rPr>
        <w:t xml:space="preserve">Committed chromedriver</w:t>
      </w:r>
      <w:r>
        <w:t xml:space="preserve"> — the driver is checked into the repository, so it can fall out of sync with the installed Chrome version. If Selenium fails to launch, verify the driver version first.</w:t>
      </w:r>
    </w:p>
    <w:p>
      <w:pPr>
        <w:pStyle w:val="Heading1"/>
        <w:spacing w:after="100" w:before="260"/>
      </w:pPr>
      <w:r>
        <w:t xml:space="preserve">6. CI/CD pipeline integration and execution</w:t>
      </w:r>
    </w:p>
    <w:p>
      <w:pPr>
        <w:spacing w:after="140"/>
        <w:jc w:val="left"/>
      </w:pPr>
      <w:r>
        <w:t xml:space="preserve">Continuous integration runs on </w:t>
      </w:r>
      <w:r>
        <w:rPr>
          <w:b/>
          <w:bCs/>
        </w:rPr>
        <w:t xml:space="preserve">GitHub Actions</w:t>
      </w:r>
      <w:r>
        <w:t xml:space="preserve">, with the PAT injected through the workflow’s </w:t>
      </w:r>
      <w:r>
        <w:rPr>
          <w:rFonts w:ascii="Consolas" w:cs="Consolas" w:eastAsia="Consolas" w:hAnsi="Consolas"/>
        </w:rPr>
        <w:t xml:space="preserve">env:</w:t>
      </w:r>
      <w:r>
        <w:t xml:space="preserve"> block (paired with the </w:t>
      </w:r>
      <w:r>
        <w:rPr>
          <w:rFonts w:ascii="Consolas" w:cs="Consolas" w:eastAsia="Consolas" w:hAnsi="Consolas"/>
        </w:rPr>
        <w:t xml:space="preserve">PatKey</w:t>
      </w:r>
      <w:r>
        <w:t xml:space="preserve"> / </w:t>
      </w:r>
      <w:r>
        <w:rPr>
          <w:rFonts w:ascii="Consolas" w:cs="Consolas" w:eastAsia="Consolas" w:hAnsi="Consolas"/>
        </w:rPr>
        <w:t xml:space="preserve">local.runsettings</w:t>
      </w:r>
      <w:r>
        <w:t xml:space="preserve"> setup above). [confirm workflow name / triggers]</w:t>
      </w:r>
    </w:p>
    <w:p>
      <w:pPr>
        <w:spacing w:after="140"/>
        <w:jc w:val="left"/>
      </w:pPr>
      <w:r>
        <w:t xml:space="preserve">Test results surface back to </w:t>
      </w:r>
      <w:r>
        <w:rPr>
          <w:b/>
          <w:bCs/>
        </w:rPr>
        <w:t xml:space="preserve">Azure DevOps</w:t>
      </w:r>
      <w:r>
        <w:t xml:space="preserve"> test plans. Note the split: </w:t>
      </w:r>
      <w:r>
        <w:rPr>
          <w:b/>
          <w:bCs/>
        </w:rPr>
        <w:t xml:space="preserve">GitHub Actions runs the pipeline, while Azure DevOps is where test management and results live.</w:t>
      </w:r>
      <w:r>
        <w:t xml:space="preserve"> When diagnosing a failed run, distinguish a pipeline failure from a test failure from an environment/authentication failure.</w:t>
      </w:r>
    </w:p>
    <w:p>
      <w:pPr>
        <w:spacing w:after="140"/>
        <w:jc w:val="left"/>
      </w:pPr>
      <w:r>
        <w:rPr>
          <w:i/>
          <w:iCs/>
        </w:rPr>
        <w:t xml:space="preserve">This CI-vs-results split should be verified against the current repository before this document is distributed, as configurations can change.</w:t>
      </w:r>
    </w:p>
    <w:p>
      <w:pPr>
        <w:pStyle w:val="Heading1"/>
        <w:spacing w:after="100" w:before="260"/>
      </w:pPr>
      <w:r>
        <w:t xml:space="preserve">Information to be completed before distribution</w:t>
      </w:r>
    </w:p>
    <w:p>
      <w:pPr>
        <w:pStyle w:val="ListParagraph"/>
        <w:numPr>
          <w:ilvl w:val="0"/>
          <w:numId w:val="1"/>
        </w:numPr>
        <w:spacing w:after="80"/>
      </w:pPr>
      <w:r>
        <w:t xml:space="preserve">Repository URL / branch</w:t>
      </w:r>
    </w:p>
    <w:p>
      <w:pPr>
        <w:pStyle w:val="ListParagraph"/>
        <w:numPr>
          <w:ilvl w:val="0"/>
          <w:numId w:val="1"/>
        </w:numPr>
        <w:spacing w:after="80"/>
      </w:pPr>
      <w:r>
        <w:t xml:space="preserve">Exact Azure DevOps test plan name and project / area path</w:t>
      </w:r>
    </w:p>
    <w:p>
      <w:pPr>
        <w:pStyle w:val="ListParagraph"/>
        <w:numPr>
          <w:ilvl w:val="0"/>
          <w:numId w:val="1"/>
        </w:numPr>
        <w:spacing w:after="80"/>
      </w:pPr>
      <w:r>
        <w:t xml:space="preserve">GitHub Actions workflow name and triggers (and confirmation that the CI-vs-results split still holds)</w:t>
      </w:r>
    </w:p>
    <w:p>
      <w:pPr>
        <w:pStyle w:val="ListParagraph"/>
        <w:numPr>
          <w:ilvl w:val="0"/>
          <w:numId w:val="1"/>
        </w:numPr>
        <w:spacing w:after="80"/>
      </w:pPr>
      <w:r>
        <w:t xml:space="preserve">Environment names and URLs</w:t>
      </w:r>
    </w:p>
    <w:p>
      <w:pPr>
        <w:pStyle w:val="ListParagraph"/>
        <w:numPr>
          <w:ilvl w:val="0"/>
          <w:numId w:val="1"/>
        </w:numPr>
        <w:spacing w:after="80"/>
      </w:pPr>
      <w:r>
        <w:t xml:space="preserve">Current </w:t>
      </w:r>
      <w:r>
        <w:rPr>
          <w:rFonts w:ascii="Consolas" w:cs="Consolas" w:eastAsia="Consolas" w:hAnsi="Consolas"/>
        </w:rPr>
        <w:t xml:space="preserve">local.runsettings</w:t>
      </w:r>
      <w:r>
        <w:t xml:space="preserve"> / </w:t>
      </w:r>
      <w:r>
        <w:rPr>
          <w:rFonts w:ascii="Consolas" w:cs="Consolas" w:eastAsia="Consolas" w:hAnsi="Consolas"/>
        </w:rPr>
        <w:t xml:space="preserve">PatKey</w:t>
      </w:r>
      <w:r>
        <w:t xml:space="preserve"> values to hand over to the incoming team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864"/>
      <w:sz w:val="34"/>
      <w:szCs w:val="34"/>
    </w:rPr>
  </w:style>
  <w:style w:type="paragraph" w:styleId="Heading1">
    <w:name w:val="Heading 1"/>
    <w:basedOn w:val="Normal"/>
    <w:next w:val="Normal"/>
    <w:pPr>
      <w:spacing w:after="100" w:before="260"/>
    </w:pPr>
    <w:rPr>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2026-08-21T19:20:25.312Z</dcterms:created>
  <dcterms:modified xsi:type="dcterms:W3CDTF">2026-08-21T19:20:25.312Z</dcterms:modified>
</cp:coreProperties>
</file>

<file path=docProps/custom.xml><?xml version="1.0" encoding="utf-8"?>
<Properties xmlns="http://schemas.openxmlformats.org/officeDocument/2006/custom-properties" xmlns:vt="http://schemas.openxmlformats.org/officeDocument/2006/docPropsVTypes"/>
</file>