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SOC360</w:t>
      </w:r>
    </w:p>
    <w:p>
      <w:pPr>
        <w:jc w:val="center"/>
      </w:pPr>
      <w:r>
        <w:rPr>
          <w:b/>
          <w:sz w:val="32"/>
        </w:rPr>
        <w:t>Documentation fonctionnelle</w:t>
      </w:r>
    </w:p>
    <w:p>
      <w:pPr>
        <w:jc w:val="center"/>
      </w:pPr>
      <w:r>
        <w:rPr>
          <w:color w:val="606060"/>
          <w:sz w:val="22"/>
        </w:rPr>
        <w:t>Guide utilisateur et parcours métier — v1.0</w:t>
      </w:r>
    </w:p>
    <w:p>
      <w:r>
        <w:br w:type="page"/>
      </w:r>
    </w:p>
    <w:p>
      <w:pPr>
        <w:pStyle w:val="Heading1"/>
      </w:pPr>
      <w:r>
        <w:t>1. Présentation du projet</w:t>
      </w:r>
    </w:p>
    <w:p>
      <w:r>
        <w:rPr>
          <w:b w:val="0"/>
        </w:rPr>
        <w:t>SOC360 est une application web de gestion des sociétés d'ingénierie (ESN). Elle permet de gérer les consultants, leurs activités, les clients, les projets, les missions, les feuilles d'activité (CRA), les notes de frais, la facturation, les fiches de paie, les documents, la messagerie interne et le support. L'application est accessible via un navigateur web (React) et s'appuie sur un backend Java / Spring Boot.</w:t>
      </w:r>
    </w:p>
    <w:p>
      <w:r>
        <w:rPr>
          <w:b w:val="0"/>
        </w:rPr>
        <w:t>L'application couvre le cycle de vie complet de l'activité d'un consultant : affectation sur des missions, saisie et validation des CRA et congés, notes de frais, et suivi financier.</w:t>
      </w:r>
    </w:p>
    <w:p>
      <w:pPr>
        <w:pStyle w:val="Heading1"/>
      </w:pPr>
      <w:r>
        <w:t>2. Les profils (rôles)</w:t>
      </w:r>
    </w:p>
    <w:tbl>
      <w:tblPr>
        <w:tblStyle w:val="LightGrid-Accent1"/>
        <w:tblW w:type="auto" w:w="0"/>
        <w:tblLook w:firstColumn="1" w:firstRow="1" w:lastColumn="0" w:lastRow="0" w:noHBand="0" w:noVBand="1" w:val="04A0"/>
      </w:tblPr>
      <w:tblGrid>
        <w:gridCol w:w="4873"/>
        <w:gridCol w:w="4873"/>
      </w:tblGrid>
      <w:tr>
        <w:tc>
          <w:tcPr>
            <w:tcW w:type="dxa" w:w="4873"/>
          </w:tcPr>
          <w:p>
            <w:r>
              <w:rPr>
                <w:b/>
              </w:rPr>
              <w:t>Rôle</w:t>
            </w:r>
          </w:p>
        </w:tc>
        <w:tc>
          <w:tcPr>
            <w:tcW w:type="dxa" w:w="4873"/>
          </w:tcPr>
          <w:p>
            <w:r>
              <w:rPr>
                <w:b/>
              </w:rPr>
              <w:t>Description</w:t>
            </w:r>
          </w:p>
        </w:tc>
      </w:tr>
      <w:tr>
        <w:tc>
          <w:tcPr>
            <w:tcW w:type="dxa" w:w="4873"/>
          </w:tcPr>
          <w:p>
            <w:r>
              <w:t>Administrateur (ADMIN)</w:t>
            </w:r>
          </w:p>
        </w:tc>
        <w:tc>
          <w:tcPr>
            <w:tcW w:type="dxa" w:w="4873"/>
          </w:tcPr>
          <w:p>
            <w:r>
              <w:t>Administre la plateforme : utilisateurs, sociétés (ESN), base de données, logs, jours fériés, permissions.</w:t>
            </w:r>
          </w:p>
        </w:tc>
      </w:tr>
      <w:tr>
        <w:tc>
          <w:tcPr>
            <w:tcW w:type="dxa" w:w="4873"/>
          </w:tcPr>
          <w:p>
            <w:r>
              <w:t>Responsable société (RESPONSIBLE_SOC)</w:t>
            </w:r>
          </w:p>
        </w:tc>
        <w:tc>
          <w:tcPr>
            <w:tcW w:type="dxa" w:w="4873"/>
          </w:tcPr>
          <w:p>
            <w:r>
              <w:t>Gère sa société (ESN) : inscription, abonnement, managers, consultants, clients, projets, activités.</w:t>
            </w:r>
          </w:p>
        </w:tc>
      </w:tr>
      <w:tr>
        <w:tc>
          <w:tcPr>
            <w:tcW w:type="dxa" w:w="4873"/>
          </w:tcPr>
          <w:p>
            <w:r>
              <w:t>Manager</w:t>
            </w:r>
          </w:p>
        </w:tc>
        <w:tc>
          <w:tcPr>
            <w:tcW w:type="dxa" w:w="4873"/>
          </w:tcPr>
          <w:p>
            <w:r>
              <w:t>Gère les consultants, clients, projets, activités et valide les CRA, congés et notes de frais.</w:t>
            </w:r>
          </w:p>
        </w:tc>
      </w:tr>
      <w:tr>
        <w:tc>
          <w:tcPr>
            <w:tcW w:type="dxa" w:w="4873"/>
          </w:tcPr>
          <w:p>
            <w:r>
              <w:t>Consultant</w:t>
            </w:r>
          </w:p>
        </w:tc>
        <w:tc>
          <w:tcPr>
            <w:tcW w:type="dxa" w:w="4873"/>
          </w:tcPr>
          <w:p>
            <w:r>
              <w:t>Saisit ses CRA, congés, notes de frais et documents ; les soumet pour validation.</w:t>
            </w:r>
          </w:p>
        </w:tc>
      </w:tr>
    </w:tbl>
    <w:p/>
    <w:p>
      <w:pPr>
        <w:pStyle w:val="Heading1"/>
      </w:pPr>
      <w:r>
        <w:t>3. Premiers pas</w:t>
      </w:r>
    </w:p>
    <w:p>
      <w:pPr>
        <w:pStyle w:val="Heading2"/>
      </w:pPr>
      <w:r>
        <w:t>3.1 Inscription d'une société (ESN)</w:t>
      </w:r>
    </w:p>
    <w:p>
      <w:pPr>
        <w:pStyle w:val="ListNumber"/>
      </w:pPr>
      <w:r>
        <w:t>Sur la page d'accueil, cliquez sur « Inscription » pour créer une société.</w:t>
      </w:r>
    </w:p>
    <w:p>
      <w:pPr>
        <w:pStyle w:val="ListNumber"/>
      </w:pPr>
      <w:r>
        <w:t>Renseignez le nom de la société et le compte de l'administrateur (responsable).</w:t>
      </w:r>
    </w:p>
    <w:p>
      <w:pPr>
        <w:pStyle w:val="ListNumber"/>
      </w:pPr>
      <w:r>
        <w:t>Un email de vérification est envoyé à l'adresse indiquée.</w:t>
      </w:r>
    </w:p>
    <w:p>
      <w:pPr>
        <w:pStyle w:val="ListNumber"/>
      </w:pPr>
      <w:r>
        <w:t>Validez votre email via le lien reçu, puis connectez-vous.</w:t>
      </w:r>
    </w:p>
    <w:p>
      <w:pPr>
        <w:pStyle w:val="ListNumber"/>
      </w:pPr>
      <w:r>
        <w:t>Le premier mois est offert (abonnement en mode essai).</w:t>
      </w:r>
    </w:p>
    <w:p>
      <w:pPr>
        <w:pStyle w:val="ListNumber"/>
      </w:pPr>
      <w:r>
        <w:t>Un mot de passe provisoire est fourni à la première connexion ; il doit être changé.</w:t>
      </w:r>
    </w:p>
    <w:p>
      <w:pPr>
        <w:pStyle w:val="Heading2"/>
      </w:pPr>
      <w:r>
        <w:t>3.2 Connexion</w:t>
      </w:r>
    </w:p>
    <w:p>
      <w:pPr>
        <w:pStyle w:val="ListBullet"/>
      </w:pPr>
      <w:r>
        <w:t>Saisissez votre identifiant (username) et votre mot de passe.</w:t>
      </w:r>
    </w:p>
    <w:p>
      <w:pPr>
        <w:pStyle w:val="ListBullet"/>
      </w:pPr>
      <w:r>
        <w:t>Un historique des 5 dernières connexions réussies est affiché sur l'écran de connexion.</w:t>
      </w:r>
    </w:p>
    <w:p>
      <w:pPr>
        <w:pStyle w:val="ListBullet"/>
      </w:pPr>
      <w:r>
        <w:t>En cas de mot de passe oublié, utilisez « Mot de passe oublié » pour recevoir un lien de réinitialisation.</w:t>
      </w:r>
    </w:p>
    <w:p>
      <w:pPr>
        <w:pStyle w:val="Heading1"/>
      </w:pPr>
      <w:r>
        <w:t>4. Interface principale</w:t>
      </w:r>
    </w:p>
    <w:p>
      <w:pPr>
        <w:pStyle w:val="ListBullet"/>
      </w:pPr>
      <w:r>
        <w:t>En-tête (haut) : espace de travail / société active, bouton Dashboard, notifications, badge utilisateur (nom + rôle, cliquable pour le profil) et bouton Quitter.</w:t>
      </w:r>
    </w:p>
    <w:p>
      <w:pPr>
        <w:pStyle w:val="ListBullet"/>
      </w:pPr>
      <w:r>
        <w:t>Menu latéral : navigation par section (Tableau de bord, Gestion, Activité, Finance, Espace, Administration).</w:t>
      </w:r>
    </w:p>
    <w:p>
      <w:pPr>
        <w:pStyle w:val="ListBullet"/>
      </w:pPr>
      <w:r>
        <w:t>Le menu s'adapte au rôle : le consultant ne voit pas les sections Clients, Projets, Missions, Consultants, Activités, Facturation.</w:t>
      </w:r>
    </w:p>
    <w:p>
      <w:pPr>
        <w:pStyle w:val="Heading1"/>
      </w:pPr>
      <w:r>
        <w:t>5. Fonctionnalités par module</w:t>
      </w:r>
    </w:p>
    <w:p>
      <w:pPr>
        <w:pStyle w:val="Heading2"/>
      </w:pPr>
      <w:r>
        <w:t>5.1 Tableau de bord</w:t>
      </w:r>
    </w:p>
    <w:p>
      <w:r>
        <w:rPr>
          <w:b w:val="0"/>
        </w:rPr>
        <w:t>Vue d'ensemble des indicateurs selon le rôle : utilisateurs, sociétés, abonnements, consultants, CRA, notes de frais, messages et notifications.</w:t>
      </w:r>
    </w:p>
    <w:p>
      <w:pPr>
        <w:pStyle w:val="Heading2"/>
      </w:pPr>
      <w:r>
        <w:t>5.2 Clients, Projets et Missions</w:t>
      </w:r>
    </w:p>
    <w:p>
      <w:pPr>
        <w:pStyle w:val="ListBullet"/>
      </w:pPr>
      <w:r>
        <w:t>Clients : gérer les sociétés clientes (nom, SIRET, code NAF, site web, adresse).</w:t>
      </w:r>
    </w:p>
    <w:p>
      <w:pPr>
        <w:pStyle w:val="ListBullet"/>
      </w:pPr>
      <w:r>
        <w:t>Projets : créer les projets rattachés à un client, avec taux journalier.</w:t>
      </w:r>
    </w:p>
    <w:p>
      <w:pPr>
        <w:pStyle w:val="ListBullet"/>
      </w:pPr>
      <w:r>
        <w:t>Missions : affecter les consultants aux missions avec leurs dates de début / fin.</w:t>
      </w:r>
    </w:p>
    <w:p>
      <w:pPr>
        <w:pStyle w:val="ListBullet"/>
      </w:pPr>
      <w:r>
        <w:t>Ces modules sont accessibles au responsable société et au manager (pas au consultant).</w:t>
      </w:r>
    </w:p>
    <w:p>
      <w:pPr>
        <w:pStyle w:val="Heading2"/>
      </w:pPr>
      <w:r>
        <w:t>5.3 Consultants</w:t>
      </w:r>
    </w:p>
    <w:p>
      <w:pPr>
        <w:pStyle w:val="ListBullet"/>
      </w:pPr>
      <w:r>
        <w:t>Créer et modifier les fiches consultants (poste, salaire, date d'entrée, nationalité, contact d'urgence).</w:t>
      </w:r>
    </w:p>
    <w:p>
      <w:pPr>
        <w:pStyle w:val="ListBullet"/>
      </w:pPr>
      <w:r>
        <w:t>Rattacher chaque consultant à son manager.</w:t>
      </w:r>
    </w:p>
    <w:p>
      <w:pPr>
        <w:pStyle w:val="ListBullet"/>
      </w:pPr>
      <w:r>
        <w:t>Rechercher dans la liste sur les colonnes affichées.</w:t>
      </w:r>
    </w:p>
    <w:p>
      <w:pPr>
        <w:pStyle w:val="ListBullet"/>
      </w:pPr>
      <w:r>
        <w:t>Suppression possible avec prise en compte des dépendances (activités, documents, CRA, notes de frais, fiches de paie).</w:t>
      </w:r>
    </w:p>
    <w:p>
      <w:pPr>
        <w:pStyle w:val="Heading2"/>
      </w:pPr>
      <w:r>
        <w:t>5.4 Activités et types d'activité</w:t>
      </w:r>
    </w:p>
    <w:p>
      <w:pPr>
        <w:pStyle w:val="ListBullet"/>
      </w:pPr>
      <w:r>
        <w:t>Types d'activité paramétrables par société (libellés en français, anglais, arabe + couleur).</w:t>
      </w:r>
    </w:p>
    <w:p>
      <w:pPr>
        <w:pStyle w:val="ListBullet"/>
      </w:pPr>
      <w:r>
        <w:t>Six types par défaut : Développement, Maintenance, Support, Réunion, Management, Repos.</w:t>
      </w:r>
    </w:p>
    <w:p>
      <w:pPr>
        <w:pStyle w:val="ListBullet"/>
      </w:pPr>
      <w:r>
        <w:t>Création d'activités pour les consultants dans les dates de la mission.</w:t>
      </w:r>
    </w:p>
    <w:p>
      <w:pPr>
        <w:pStyle w:val="ListBullet"/>
      </w:pPr>
      <w:r>
        <w:t>Option « travail le week-end » copiée du type vers l'activité.</w:t>
      </w:r>
    </w:p>
    <w:p>
      <w:pPr>
        <w:pStyle w:val="Heading2"/>
      </w:pPr>
      <w:r>
        <w:t>5.5 CRA (comptes rendus d'activité) et congés</w:t>
      </w:r>
    </w:p>
    <w:p>
      <w:pPr>
        <w:pStyle w:val="ListBullet"/>
      </w:pPr>
      <w:r>
        <w:t>Un seul bouton « Ajouter CRA / Congé » : par défaut le type est CRA, modifiable via un choix de type.</w:t>
      </w:r>
    </w:p>
    <w:p>
      <w:pPr>
        <w:pStyle w:val="ListBullet"/>
      </w:pPr>
      <w:r>
        <w:t>Saisie jour par jour : travail, week-end, jour férié, congé, maladie, autre.</w:t>
      </w:r>
    </w:p>
    <w:p>
      <w:pPr>
        <w:pStyle w:val="ListBullet"/>
      </w:pPr>
      <w:r>
        <w:t>Les jours fériés et week-ends sont pré-remplis automatiquement (jours fériés par pays).</w:t>
      </w:r>
    </w:p>
    <w:p>
      <w:pPr>
        <w:pStyle w:val="ListBullet"/>
      </w:pPr>
      <w:r>
        <w:t>Configuration CRA par société et par année : heures journalières, jours ouvrés, taux journalier.</w:t>
      </w:r>
    </w:p>
    <w:p>
      <w:pPr>
        <w:pStyle w:val="ListBullet"/>
      </w:pPr>
      <w:r>
        <w:t>Cycle de validation : Brouillon → Soumis → Validé / Rejeté (avec commentaire).</w:t>
      </w:r>
    </w:p>
    <w:p>
      <w:pPr>
        <w:pStyle w:val="ListBullet"/>
      </w:pPr>
      <w:r>
        <w:t>Export des CRA en PDF (version ESN et version client) et en CSV.</w:t>
      </w:r>
    </w:p>
    <w:p>
      <w:pPr>
        <w:pStyle w:val="ListBullet"/>
      </w:pPr>
      <w:r>
        <w:t>Envoi des CRA validés par email aux clients.</w:t>
      </w:r>
    </w:p>
    <w:p>
      <w:pPr>
        <w:pStyle w:val="ListBullet"/>
      </w:pPr>
      <w:r>
        <w:t>Historique des changements de statut.</w:t>
      </w:r>
    </w:p>
    <w:p>
      <w:pPr>
        <w:pStyle w:val="Heading2"/>
      </w:pPr>
      <w:r>
        <w:t>5.6 Notes de frais</w:t>
      </w:r>
    </w:p>
    <w:p>
      <w:pPr>
        <w:pStyle w:val="ListBullet"/>
      </w:pPr>
      <w:r>
        <w:t>Création d'une note de frais mensuelle (restaurant, déplacement, hébergement, transport, essence, péage, stationnement, téléphone, matériel, autre).</w:t>
      </w:r>
    </w:p>
    <w:p>
      <w:pPr>
        <w:pStyle w:val="ListBullet"/>
      </w:pPr>
      <w:r>
        <w:t>Soumission pour validation puis validation / rejet / paiement.</w:t>
      </w:r>
    </w:p>
    <w:p>
      <w:pPr>
        <w:pStyle w:val="ListBullet"/>
      </w:pPr>
      <w:r>
        <w:t>Statistiques par mois, par catégorie et par consultant.</w:t>
      </w:r>
    </w:p>
    <w:p>
      <w:pPr>
        <w:pStyle w:val="Heading2"/>
      </w:pPr>
      <w:r>
        <w:t>5.7 Facturation et fiches de paie</w:t>
      </w:r>
    </w:p>
    <w:p>
      <w:pPr>
        <w:pStyle w:val="ListBullet"/>
      </w:pPr>
      <w:r>
        <w:t>Facturation : suivi des montants facturés aux clients.</w:t>
      </w:r>
    </w:p>
    <w:p>
      <w:pPr>
        <w:pStyle w:val="ListBullet"/>
      </w:pPr>
      <w:r>
        <w:t>Fiches de paie : dépôt, téléchargement et consultation des fiches de paie des consultants (brut, net, coûts employeur).</w:t>
      </w:r>
    </w:p>
    <w:p>
      <w:pPr>
        <w:pStyle w:val="Heading2"/>
      </w:pPr>
      <w:r>
        <w:t>5.8 Documents</w:t>
      </w:r>
    </w:p>
    <w:p>
      <w:r>
        <w:rPr>
          <w:b w:val="0"/>
        </w:rPr>
        <w:t>Dépôt et consultation de documents RH (contrats, avenants, fiches de paie, attestations, RIB, pièces d'identité, diplômes, carte vitale, conventions, autres) avec catégorie et téléchargement.</w:t>
      </w:r>
    </w:p>
    <w:p>
      <w:pPr>
        <w:pStyle w:val="Heading2"/>
      </w:pPr>
      <w:r>
        <w:t>5.9 Messagerie et notifications</w:t>
      </w:r>
    </w:p>
    <w:p>
      <w:pPr>
        <w:pStyle w:val="ListBullet"/>
      </w:pPr>
      <w:r>
        <w:t>Messagerie interne : boîte de réception, messages envoyés, compteur de non-lus.</w:t>
      </w:r>
    </w:p>
    <w:p>
      <w:pPr>
        <w:pStyle w:val="ListBullet"/>
      </w:pPr>
      <w:r>
        <w:t>Notifications : cloche dans l'en-tête, marquage lu / tout marquer lu, suppression de toutes les notifications.</w:t>
      </w:r>
    </w:p>
    <w:p>
      <w:pPr>
        <w:pStyle w:val="Heading2"/>
      </w:pPr>
      <w:r>
        <w:t>5.10 Support</w:t>
      </w:r>
    </w:p>
    <w:p>
      <w:r>
        <w:rPr>
          <w:b w:val="0"/>
        </w:rPr>
        <w:t>Ouverture de tickets de support (priorité basse, moyenne, haute, urgente), échanges (discussion) avec le support, suivi des statuts (Ouvert, En cours, Résolu, Clos).</w:t>
      </w:r>
    </w:p>
    <w:p>
      <w:pPr>
        <w:pStyle w:val="Heading2"/>
      </w:pPr>
      <w:r>
        <w:t>5.11 Profil et sécurité</w:t>
      </w:r>
    </w:p>
    <w:p>
      <w:pPr>
        <w:pStyle w:val="ListBullet"/>
      </w:pPr>
      <w:r>
        <w:t>Consultation du profil (en cliquant sur le badge utilisateur en haut à droite).</w:t>
      </w:r>
    </w:p>
    <w:p>
      <w:pPr>
        <w:pStyle w:val="ListBullet"/>
      </w:pPr>
      <w:r>
        <w:t>Changement de mot de passe (obligatoire après un mot de passe provisoire).</w:t>
      </w:r>
    </w:p>
    <w:p>
      <w:pPr>
        <w:pStyle w:val="Heading2"/>
      </w:pPr>
      <w:r>
        <w:t>5.12 Administration (réservé à l'administrateur)</w:t>
      </w:r>
    </w:p>
    <w:p>
      <w:pPr>
        <w:pStyle w:val="ListBullet"/>
      </w:pPr>
      <w:r>
        <w:t>Utilisateurs : liste et suppression.</w:t>
      </w:r>
    </w:p>
    <w:p>
      <w:pPr>
        <w:pStyle w:val="ListBullet"/>
      </w:pPr>
      <w:r>
        <w:t>Sociétés : gestion des ESN et de leurs abonnements / paiements.</w:t>
      </w:r>
    </w:p>
    <w:p>
      <w:pPr>
        <w:pStyle w:val="ListBullet"/>
      </w:pPr>
      <w:r>
        <w:t>Base de données : parcourir les tables, exécuter des requêtes SQL (outil de supervision).</w:t>
      </w:r>
    </w:p>
    <w:p>
      <w:pPr>
        <w:pStyle w:val="ListBullet"/>
      </w:pPr>
      <w:r>
        <w:t>Logs : consulter la fin des logs serveur.</w:t>
      </w:r>
    </w:p>
    <w:p>
      <w:pPr>
        <w:pStyle w:val="ListBullet"/>
      </w:pPr>
      <w:r>
        <w:t>Jours fériés : gestion des jours fériés par pays.</w:t>
      </w:r>
    </w:p>
    <w:p>
      <w:pPr>
        <w:pStyle w:val="ListBullet"/>
      </w:pPr>
      <w:r>
        <w:t>Permissions : matrice des droits par rôle et par fonctionnalité.</w:t>
      </w:r>
    </w:p>
    <w:p>
      <w:pPr>
        <w:pStyle w:val="ListBullet"/>
      </w:pPr>
      <w:r>
        <w:t>Batch : export CRA automatique, import CSV de consultants.</w:t>
      </w:r>
    </w:p>
    <w:p>
      <w:pPr>
        <w:pStyle w:val="Heading1"/>
      </w:pPr>
      <w:r>
        <w:t>6. Workflows métier</w:t>
      </w:r>
    </w:p>
    <w:p>
      <w:pPr>
        <w:pStyle w:val="Heading2"/>
      </w:pPr>
      <w:r>
        <w:t>6.1 Cycle d'un CRA / congé</w:t>
      </w:r>
    </w:p>
    <w:p>
      <w:pPr>
        <w:pStyle w:val="ListNumber"/>
      </w:pPr>
      <w:r>
        <w:t>Le consultant crée son CRA du mois (ou son congé) et saisit ses journées.</w:t>
      </w:r>
    </w:p>
    <w:p>
      <w:pPr>
        <w:pStyle w:val="ListNumber"/>
      </w:pPr>
      <w:r>
        <w:t>Il soumet le CRA pour validation (le manager est notifié).</w:t>
      </w:r>
    </w:p>
    <w:p>
      <w:pPr>
        <w:pStyle w:val="ListNumber"/>
      </w:pPr>
      <w:r>
        <w:t>Le manager valide ou rejette (avec commentaire) ; le consultant est notifié.</w:t>
      </w:r>
    </w:p>
    <w:p>
      <w:pPr>
        <w:pStyle w:val="ListNumber"/>
      </w:pPr>
      <w:r>
        <w:t>Une fois validé, certains boutons sont masqués ; le CRA peut être exporté en PDF et envoyé au client.</w:t>
      </w:r>
    </w:p>
    <w:p>
      <w:pPr>
        <w:pStyle w:val="Heading2"/>
      </w:pPr>
      <w:r>
        <w:t>6.2 Cycle d'une note de frais</w:t>
      </w:r>
    </w:p>
    <w:p>
      <w:pPr>
        <w:pStyle w:val="ListNumber"/>
      </w:pPr>
      <w:r>
        <w:t>Le consultant crée sa note de frais mensuelle et la soumet.</w:t>
      </w:r>
    </w:p>
    <w:p>
      <w:pPr>
        <w:pStyle w:val="ListNumber"/>
      </w:pPr>
      <w:r>
        <w:t>Le manager la valide, la rejette ou la marque payée.</w:t>
      </w:r>
    </w:p>
    <w:p>
      <w:pPr>
        <w:pStyle w:val="Heading2"/>
      </w:pPr>
      <w:r>
        <w:t>6.3 Abonnement société</w:t>
      </w:r>
    </w:p>
    <w:p>
      <w:pPr>
        <w:pStyle w:val="ListNumber"/>
      </w:pPr>
      <w:r>
        <w:t>Inscription → vérification d'email → connexion.</w:t>
      </w:r>
    </w:p>
    <w:p>
      <w:pPr>
        <w:pStyle w:val="ListNumber"/>
      </w:pPr>
      <w:r>
        <w:t>Premier mois offert (essai). Ensuite, les connexions sont bloquées tant que l'abonnement n'est pas réglé.</w:t>
      </w:r>
    </w:p>
    <w:p>
      <w:pPr>
        <w:pStyle w:val="ListNumber"/>
      </w:pPr>
      <w:r>
        <w:t>Le responsable société suit son abonnement et ses paiements.</w:t>
      </w:r>
    </w:p>
    <w:p>
      <w:pPr>
        <w:pStyle w:val="Heading1"/>
      </w:pPr>
      <w:r>
        <w:t>7. Exports et automatismes</w:t>
      </w:r>
    </w:p>
    <w:p>
      <w:pPr>
        <w:pStyle w:val="ListBullet"/>
      </w:pPr>
      <w:r>
        <w:t>Export CRA PDF (versions ESN et client) et CSV, à la demande.</w:t>
      </w:r>
    </w:p>
    <w:p>
      <w:pPr>
        <w:pStyle w:val="ListBullet"/>
      </w:pPr>
      <w:r>
        <w:t>Export automatique des CRA du mois précédent, le dernier jour du mois à 23 h, avec notification par email.</w:t>
      </w:r>
    </w:p>
    <w:p>
      <w:pPr>
        <w:pStyle w:val="ListBullet"/>
      </w:pPr>
      <w:r>
        <w:t>Import CSV de consultants.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SOC360 — Documentation fonctionnelle</dc:title>
  <dc:subject>Guide utilisateur SOC360</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