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AB39" w14:textId="77777777" w:rsidR="00125ECE" w:rsidRDefault="00125ECE">
      <w:pPr>
        <w:rPr>
          <w:lang w:val="es-ES"/>
        </w:rPr>
      </w:pPr>
    </w:p>
    <w:p w14:paraId="4B15DED6" w14:textId="77777777" w:rsidR="0082041A" w:rsidRDefault="0082041A">
      <w:pPr>
        <w:rPr>
          <w:lang w:val="es-ES"/>
        </w:rPr>
      </w:pPr>
    </w:p>
    <w:p w14:paraId="6B97FEAA" w14:textId="77777777" w:rsidR="0082041A" w:rsidRDefault="0082041A" w:rsidP="0082041A">
      <w:pPr>
        <w:jc w:val="center"/>
        <w:rPr>
          <w:rFonts w:ascii="Calibri" w:hAnsi="Calibri" w:cs="Calibri"/>
          <w:b/>
          <w:bCs/>
          <w:sz w:val="36"/>
          <w:szCs w:val="36"/>
          <w:u w:val="single"/>
          <w:lang w:val="es-MX"/>
        </w:rPr>
      </w:pPr>
      <w:r w:rsidRPr="0082041A">
        <w:rPr>
          <w:rFonts w:ascii="Calibri" w:hAnsi="Calibri" w:cs="Calibri"/>
          <w:b/>
          <w:bCs/>
          <w:sz w:val="36"/>
          <w:szCs w:val="36"/>
          <w:u w:val="single"/>
          <w:lang w:val="es-MX"/>
        </w:rPr>
        <w:t>Actividad 4.1 Análisis de Voronoi y Triangulación de Delaunay</w:t>
      </w:r>
    </w:p>
    <w:p w14:paraId="1095AD35" w14:textId="77777777" w:rsidR="0082041A" w:rsidRDefault="0082041A" w:rsidP="0082041A">
      <w:pPr>
        <w:jc w:val="center"/>
        <w:rPr>
          <w:rFonts w:ascii="Calibri" w:hAnsi="Calibri" w:cs="Calibri"/>
          <w:b/>
          <w:bCs/>
          <w:sz w:val="36"/>
          <w:szCs w:val="36"/>
          <w:u w:val="single"/>
          <w:lang w:val="es-MX"/>
        </w:rPr>
      </w:pPr>
    </w:p>
    <w:p w14:paraId="344CDA37" w14:textId="6A555E4E" w:rsidR="00D24D61" w:rsidRDefault="000853FD" w:rsidP="0082041A">
      <w:pPr>
        <w:rPr>
          <w:rFonts w:ascii="Calibri" w:hAnsi="Calibri" w:cs="Calibri"/>
          <w:sz w:val="24"/>
          <w:szCs w:val="24"/>
          <w:lang w:val="es-MX"/>
        </w:rPr>
      </w:pPr>
      <w:r>
        <w:rPr>
          <w:rFonts w:ascii="Calibri" w:hAnsi="Calibri" w:cs="Calibri"/>
          <w:sz w:val="24"/>
          <w:szCs w:val="24"/>
          <w:lang w:val="es-MX"/>
        </w:rPr>
        <w:t>Las herramientas de los análisis de Voronoi y de la triangulación de Delaunay, son un conjunto de herramientas matemáticas muy potentes, además de ser bastante versátiles.</w:t>
      </w:r>
      <w:r w:rsidR="00D24D61">
        <w:rPr>
          <w:rFonts w:ascii="Calibri" w:hAnsi="Calibri" w:cs="Calibri"/>
          <w:sz w:val="24"/>
          <w:szCs w:val="24"/>
          <w:lang w:val="es-MX"/>
        </w:rPr>
        <w:t xml:space="preserve">  Para hacer un diagrama de Voronoi, se toma un plano con puntos dispersos a través suyo, y se designan áreas por cada uno de los puntos, adentro de las cuáles, siempre está uno más cerca del punto en cuestión que de cualquier otro </w:t>
      </w:r>
      <w:sdt>
        <w:sdtPr>
          <w:rPr>
            <w:rFonts w:ascii="Calibri" w:hAnsi="Calibri" w:cs="Calibri"/>
            <w:sz w:val="24"/>
            <w:szCs w:val="24"/>
            <w:lang w:val="es-MX"/>
          </w:rPr>
          <w:id w:val="1316917701"/>
          <w:citation/>
        </w:sdtPr>
        <w:sdtContent>
          <w:r w:rsidR="00EA4EFF">
            <w:rPr>
              <w:rFonts w:ascii="Calibri" w:hAnsi="Calibri" w:cs="Calibri"/>
              <w:sz w:val="24"/>
              <w:szCs w:val="24"/>
              <w:lang w:val="es-MX"/>
            </w:rPr>
            <w:fldChar w:fldCharType="begin"/>
          </w:r>
          <w:r w:rsidR="00EA4EFF">
            <w:rPr>
              <w:rFonts w:ascii="Calibri" w:hAnsi="Calibri" w:cs="Calibri"/>
              <w:sz w:val="24"/>
              <w:szCs w:val="24"/>
              <w:lang w:val="es-ES"/>
            </w:rPr>
            <w:instrText xml:space="preserve"> CITATION Vor25 \l 3082 </w:instrText>
          </w:r>
          <w:r w:rsidR="00EA4EFF">
            <w:rPr>
              <w:rFonts w:ascii="Calibri" w:hAnsi="Calibri" w:cs="Calibri"/>
              <w:sz w:val="24"/>
              <w:szCs w:val="24"/>
              <w:lang w:val="es-MX"/>
            </w:rPr>
            <w:fldChar w:fldCharType="separate"/>
          </w:r>
          <w:r w:rsidR="00EA4EFF" w:rsidRPr="00EA4EFF">
            <w:rPr>
              <w:rFonts w:ascii="Calibri" w:hAnsi="Calibri" w:cs="Calibri"/>
              <w:noProof/>
              <w:sz w:val="24"/>
              <w:szCs w:val="24"/>
              <w:lang w:val="es-ES"/>
            </w:rPr>
            <w:t>(Voronoi diagram - Wikipedia, 2025)</w:t>
          </w:r>
          <w:r w:rsidR="00EA4EFF">
            <w:rPr>
              <w:rFonts w:ascii="Calibri" w:hAnsi="Calibri" w:cs="Calibri"/>
              <w:sz w:val="24"/>
              <w:szCs w:val="24"/>
              <w:lang w:val="es-MX"/>
            </w:rPr>
            <w:fldChar w:fldCharType="end"/>
          </w:r>
        </w:sdtContent>
      </w:sdt>
      <w:r w:rsidR="00EA4EFF">
        <w:rPr>
          <w:rFonts w:ascii="Calibri" w:hAnsi="Calibri" w:cs="Calibri"/>
          <w:sz w:val="24"/>
          <w:szCs w:val="24"/>
          <w:lang w:val="es-MX"/>
        </w:rPr>
        <w:t>.</w:t>
      </w:r>
      <w:r w:rsidR="00CB5789">
        <w:rPr>
          <w:rFonts w:ascii="Calibri" w:hAnsi="Calibri" w:cs="Calibri"/>
          <w:sz w:val="24"/>
          <w:szCs w:val="24"/>
          <w:lang w:val="es-MX"/>
        </w:rPr>
        <w:t xml:space="preserve"> La triangulación de Delaunay ocurre cuando, con un conjunto de puntos, estos se alinean de tal manera que, se forman triángulos dentro de círculos (circuncírculo) y, además, cada circuncírculo contenga en su interior, únicamente los tres puntos que lo originaron, ninguno de otro triángulo </w:t>
      </w:r>
      <w:sdt>
        <w:sdtPr>
          <w:rPr>
            <w:rFonts w:ascii="Calibri" w:hAnsi="Calibri" w:cs="Calibri"/>
            <w:sz w:val="24"/>
            <w:szCs w:val="24"/>
            <w:lang w:val="es-MX"/>
          </w:rPr>
          <w:id w:val="1779137979"/>
          <w:citation/>
        </w:sdtPr>
        <w:sdtContent>
          <w:r w:rsidR="00E800DB">
            <w:rPr>
              <w:rFonts w:ascii="Calibri" w:hAnsi="Calibri" w:cs="Calibri"/>
              <w:sz w:val="24"/>
              <w:szCs w:val="24"/>
              <w:lang w:val="es-MX"/>
            </w:rPr>
            <w:fldChar w:fldCharType="begin"/>
          </w:r>
          <w:r w:rsidR="00E800DB">
            <w:rPr>
              <w:rFonts w:ascii="Calibri" w:hAnsi="Calibri" w:cs="Calibri"/>
              <w:sz w:val="24"/>
              <w:szCs w:val="24"/>
              <w:lang w:val="es-ES"/>
            </w:rPr>
            <w:instrText xml:space="preserve"> CITATION Del25 \l 3082 </w:instrText>
          </w:r>
          <w:r w:rsidR="00E800DB">
            <w:rPr>
              <w:rFonts w:ascii="Calibri" w:hAnsi="Calibri" w:cs="Calibri"/>
              <w:sz w:val="24"/>
              <w:szCs w:val="24"/>
              <w:lang w:val="es-MX"/>
            </w:rPr>
            <w:fldChar w:fldCharType="separate"/>
          </w:r>
          <w:r w:rsidR="00E800DB" w:rsidRPr="00E800DB">
            <w:rPr>
              <w:rFonts w:ascii="Calibri" w:hAnsi="Calibri" w:cs="Calibri"/>
              <w:noProof/>
              <w:sz w:val="24"/>
              <w:szCs w:val="24"/>
              <w:lang w:val="es-ES"/>
            </w:rPr>
            <w:t>(Delaunay triangulation - Wikipedia, 2025)</w:t>
          </w:r>
          <w:r w:rsidR="00E800DB">
            <w:rPr>
              <w:rFonts w:ascii="Calibri" w:hAnsi="Calibri" w:cs="Calibri"/>
              <w:sz w:val="24"/>
              <w:szCs w:val="24"/>
              <w:lang w:val="es-MX"/>
            </w:rPr>
            <w:fldChar w:fldCharType="end"/>
          </w:r>
        </w:sdtContent>
      </w:sdt>
      <w:r w:rsidR="00E800DB">
        <w:rPr>
          <w:rFonts w:ascii="Calibri" w:hAnsi="Calibri" w:cs="Calibri"/>
          <w:sz w:val="24"/>
          <w:szCs w:val="24"/>
          <w:lang w:val="es-MX"/>
        </w:rPr>
        <w:t xml:space="preserve">. Estos dos están estrechamente relacionados, ya que, </w:t>
      </w:r>
      <w:r w:rsidR="00BC7AB4">
        <w:rPr>
          <w:rFonts w:ascii="Calibri" w:hAnsi="Calibri" w:cs="Calibri"/>
          <w:sz w:val="24"/>
          <w:szCs w:val="24"/>
          <w:lang w:val="es-MX"/>
        </w:rPr>
        <w:t>si se toman los centros de cada circuncírculo de una triangulación de Delaunay y se conectan, los espacios que producen son el diagrama de Voronoi de los vértices de los triángulos.</w:t>
      </w:r>
      <w:r w:rsidR="00BA5E6B">
        <w:rPr>
          <w:rFonts w:ascii="Calibri" w:hAnsi="Calibri" w:cs="Calibri"/>
          <w:sz w:val="24"/>
          <w:szCs w:val="24"/>
          <w:lang w:val="es-MX"/>
        </w:rPr>
        <w:t xml:space="preserve"> </w:t>
      </w:r>
    </w:p>
    <w:p w14:paraId="3FFFDC53" w14:textId="53C24409" w:rsidR="00BA5E6B" w:rsidRDefault="00BA5E6B" w:rsidP="0082041A">
      <w:pPr>
        <w:rPr>
          <w:rFonts w:ascii="Calibri" w:hAnsi="Calibri" w:cs="Calibri"/>
          <w:sz w:val="24"/>
          <w:szCs w:val="24"/>
          <w:lang w:val="es-MX"/>
        </w:rPr>
      </w:pPr>
      <w:r>
        <w:rPr>
          <w:rFonts w:ascii="Calibri" w:hAnsi="Calibri" w:cs="Calibri"/>
          <w:sz w:val="24"/>
          <w:szCs w:val="24"/>
          <w:lang w:val="es-MX"/>
        </w:rPr>
        <w:t>Aunque, como se ha mencionado, son algoritmos muy parecidos (y relacionados) existen diferencias clave entre ellos. Una de ellas sería que, Voronoi resulta en áreas dispares, o sea, polígonos de una cantidad variable de lados y tamaños, ya que solamente señala el “territorio” de cada punto. En cambio, Delaunay, siempre da triángulos (aún si el tamaño también es variable aquí)</w:t>
      </w:r>
      <w:r w:rsidR="006C778D">
        <w:rPr>
          <w:rFonts w:ascii="Calibri" w:hAnsi="Calibri" w:cs="Calibri"/>
          <w:sz w:val="24"/>
          <w:szCs w:val="24"/>
          <w:lang w:val="es-MX"/>
        </w:rPr>
        <w:t>, y, crucialmente, evita aquellos (normalmente) que sean excesivamente delgados, creando una “malla” que cubre un plano de una manera bastante eficiente.</w:t>
      </w:r>
    </w:p>
    <w:p w14:paraId="65CD5393" w14:textId="77777777" w:rsidR="00732D53" w:rsidRDefault="00732D53" w:rsidP="0082041A">
      <w:pPr>
        <w:rPr>
          <w:rFonts w:ascii="Calibri" w:hAnsi="Calibri" w:cs="Calibri"/>
          <w:sz w:val="24"/>
          <w:szCs w:val="24"/>
          <w:lang w:val="es-MX"/>
        </w:rPr>
      </w:pPr>
    </w:p>
    <w:p w14:paraId="17936DF4" w14:textId="3CE18556" w:rsidR="00732D53" w:rsidRDefault="00E95E04" w:rsidP="0082041A">
      <w:pPr>
        <w:rPr>
          <w:rFonts w:ascii="Calibri" w:hAnsi="Calibri" w:cs="Calibri"/>
          <w:sz w:val="24"/>
          <w:szCs w:val="24"/>
          <w:lang w:val="es-MX"/>
        </w:rPr>
      </w:pPr>
      <w:r>
        <w:rPr>
          <w:rFonts w:ascii="Calibri" w:hAnsi="Calibri" w:cs="Calibri"/>
          <w:sz w:val="24"/>
          <w:szCs w:val="24"/>
          <w:lang w:val="es-MX"/>
        </w:rPr>
        <w:t>Los diagramas de Voronoi, como principio esencial, tiene el uso de las distancias. O sea, viendo uno puedes saber perfectamente qué punto te queda más cerca, ya que ese es su “territorio”. Además, en áreas más “densamente pobladas”, o sea, con concentración alta de puntos, se puede ver fácilmente, ya que las áreas serán bastante pequeñas, mientras que, en zonas más “desiertas”, las áreas serán considerablemente más extensas, ya que hay menos vecinos que causen “interferencia”. Además, esta propiedad significa que el tamaño de las áreas puede ser extremadamente irregular, combinando en un solo diagrama áreas enormes con algunas muy pequeñas.</w:t>
      </w:r>
    </w:p>
    <w:p w14:paraId="4BF0D65A" w14:textId="77777777" w:rsidR="00E95E04" w:rsidRDefault="00E95E04" w:rsidP="0082041A">
      <w:pPr>
        <w:rPr>
          <w:rFonts w:ascii="Calibri" w:hAnsi="Calibri" w:cs="Calibri"/>
          <w:sz w:val="24"/>
          <w:szCs w:val="24"/>
          <w:lang w:val="es-MX"/>
        </w:rPr>
      </w:pPr>
    </w:p>
    <w:p w14:paraId="7777FBD0" w14:textId="5B207BB4" w:rsidR="00E95E04" w:rsidRDefault="00E95E04" w:rsidP="0082041A">
      <w:pPr>
        <w:rPr>
          <w:rFonts w:ascii="Calibri" w:hAnsi="Calibri" w:cs="Calibri"/>
          <w:sz w:val="24"/>
          <w:szCs w:val="24"/>
          <w:lang w:val="es-MX"/>
        </w:rPr>
      </w:pPr>
      <w:r>
        <w:rPr>
          <w:rFonts w:ascii="Calibri" w:hAnsi="Calibri" w:cs="Calibri"/>
          <w:sz w:val="24"/>
          <w:szCs w:val="24"/>
          <w:lang w:val="es-MX"/>
        </w:rPr>
        <w:lastRenderedPageBreak/>
        <w:t>En la triangulación de Delaunay, se busca siempre un cierto equilibrio, destacando esto como un aspecto impo</w:t>
      </w:r>
      <w:r w:rsidR="00FE49B2">
        <w:rPr>
          <w:rFonts w:ascii="Calibri" w:hAnsi="Calibri" w:cs="Calibri"/>
          <w:sz w:val="24"/>
          <w:szCs w:val="24"/>
          <w:lang w:val="es-MX"/>
        </w:rPr>
        <w:t xml:space="preserve">rtante de esta herramienta, o sea, aún si las áreas de los triángulos que forman un plano </w:t>
      </w:r>
      <w:proofErr w:type="gramStart"/>
      <w:r w:rsidR="00FE49B2">
        <w:rPr>
          <w:rFonts w:ascii="Calibri" w:hAnsi="Calibri" w:cs="Calibri"/>
          <w:sz w:val="24"/>
          <w:szCs w:val="24"/>
          <w:lang w:val="es-MX"/>
        </w:rPr>
        <w:t>así,</w:t>
      </w:r>
      <w:proofErr w:type="gramEnd"/>
      <w:r w:rsidR="00FE49B2">
        <w:rPr>
          <w:rFonts w:ascii="Calibri" w:hAnsi="Calibri" w:cs="Calibri"/>
          <w:sz w:val="24"/>
          <w:szCs w:val="24"/>
          <w:lang w:val="es-MX"/>
        </w:rPr>
        <w:t xml:space="preserve"> pueden ser diferentes, la misma razón de ser de Delaunay implica que no puede haber una disparidad como en Voronoi, además de la uniformidad de las formas. Aparte de que, sí o sí, todos tienen que triángulos, suelen acercarse (o serlo, en algunos casos) a los triángulos equiláteros, evitando triángulos que sean muy “altos” (o sea, con bases cortas y los otros lados muy largos).</w:t>
      </w:r>
    </w:p>
    <w:p w14:paraId="40A0E893" w14:textId="6CF9BD35" w:rsidR="00D24D61" w:rsidRDefault="00D73E5A" w:rsidP="0093085C">
      <w:pPr>
        <w:rPr>
          <w:rFonts w:ascii="Calibri" w:hAnsi="Calibri" w:cs="Calibri"/>
          <w:sz w:val="24"/>
          <w:szCs w:val="24"/>
          <w:lang w:val="es-MX"/>
        </w:rPr>
      </w:pPr>
      <w:r>
        <w:rPr>
          <w:rFonts w:ascii="Calibri" w:hAnsi="Calibri" w:cs="Calibri"/>
          <w:sz w:val="24"/>
          <w:szCs w:val="24"/>
          <w:lang w:val="es-MX"/>
        </w:rPr>
        <w:t>Ambas herramientas tienen amplias aplicaciones en el mundo real, ya que, como se mencionó antes, son</w:t>
      </w:r>
      <w:r w:rsidR="008324A8">
        <w:rPr>
          <w:rFonts w:ascii="Calibri" w:hAnsi="Calibri" w:cs="Calibri"/>
          <w:sz w:val="24"/>
          <w:szCs w:val="24"/>
          <w:lang w:val="es-MX"/>
        </w:rPr>
        <w:t xml:space="preserve"> muy versátiles. Por ejemplo, Voronoi, se usa en una gran amplitud de campos, más allá de las matemáticas, como son la meteorología, las ciencias sociales, las ciencias naturales, la ingeniería, la informática y la salud. En este último ámbito, llegó uno de los primeros usos registrados, ya que el médico inglés John Snow, pudo encontrar exitosamente la fuente de origen de una epidemia de cólera en Londres en el año 1854 </w:t>
      </w:r>
      <w:sdt>
        <w:sdtPr>
          <w:rPr>
            <w:rFonts w:ascii="Calibri" w:hAnsi="Calibri" w:cs="Calibri"/>
            <w:sz w:val="24"/>
            <w:szCs w:val="24"/>
            <w:lang w:val="es-MX"/>
          </w:rPr>
          <w:id w:val="1573933249"/>
          <w:citation/>
        </w:sdtPr>
        <w:sdtContent>
          <w:r w:rsidR="00CE03EE">
            <w:rPr>
              <w:rFonts w:ascii="Calibri" w:hAnsi="Calibri" w:cs="Calibri"/>
              <w:sz w:val="24"/>
              <w:szCs w:val="24"/>
              <w:lang w:val="es-MX"/>
            </w:rPr>
            <w:fldChar w:fldCharType="begin"/>
          </w:r>
          <w:r w:rsidR="00CE03EE">
            <w:rPr>
              <w:rFonts w:ascii="Calibri" w:hAnsi="Calibri" w:cs="Calibri"/>
              <w:sz w:val="24"/>
              <w:szCs w:val="24"/>
              <w:lang w:val="es-ES"/>
            </w:rPr>
            <w:instrText xml:space="preserve"> CITATION Joh06 \l 3082 </w:instrText>
          </w:r>
          <w:r w:rsidR="00CE03EE">
            <w:rPr>
              <w:rFonts w:ascii="Calibri" w:hAnsi="Calibri" w:cs="Calibri"/>
              <w:sz w:val="24"/>
              <w:szCs w:val="24"/>
              <w:lang w:val="es-MX"/>
            </w:rPr>
            <w:fldChar w:fldCharType="separate"/>
          </w:r>
          <w:r w:rsidR="00CE03EE" w:rsidRPr="00CE03EE">
            <w:rPr>
              <w:rFonts w:ascii="Calibri" w:hAnsi="Calibri" w:cs="Calibri"/>
              <w:noProof/>
              <w:sz w:val="24"/>
              <w:szCs w:val="24"/>
              <w:lang w:val="es-ES"/>
            </w:rPr>
            <w:t>(Johnson, 2006)</w:t>
          </w:r>
          <w:r w:rsidR="00CE03EE">
            <w:rPr>
              <w:rFonts w:ascii="Calibri" w:hAnsi="Calibri" w:cs="Calibri"/>
              <w:sz w:val="24"/>
              <w:szCs w:val="24"/>
              <w:lang w:val="es-MX"/>
            </w:rPr>
            <w:fldChar w:fldCharType="end"/>
          </w:r>
        </w:sdtContent>
      </w:sdt>
      <w:r w:rsidR="00CE03EE">
        <w:rPr>
          <w:rFonts w:ascii="Calibri" w:hAnsi="Calibri" w:cs="Calibri"/>
          <w:sz w:val="24"/>
          <w:szCs w:val="24"/>
          <w:lang w:val="es-MX"/>
        </w:rPr>
        <w:t>. En el caso de Delaunay, sus aplicaciones se enfocan más en el ámbito de describir planos (y espacios, si se usa para 3 dimensiones), y poder hacer modelos correspondientes, como al modelar terreno para fines topográficos.</w:t>
      </w:r>
      <w:r w:rsidR="00976269">
        <w:rPr>
          <w:rFonts w:ascii="Calibri" w:hAnsi="Calibri" w:cs="Calibri"/>
          <w:sz w:val="24"/>
          <w:szCs w:val="24"/>
          <w:lang w:val="es-MX"/>
        </w:rPr>
        <w:t xml:space="preserve"> Además, una adaptación de la triangulación de Delaunay ha resultado útil para planificar caminos para que sean recorridos por vehículos autónomos </w:t>
      </w:r>
      <w:sdt>
        <w:sdtPr>
          <w:rPr>
            <w:rFonts w:ascii="Calibri" w:hAnsi="Calibri" w:cs="Calibri"/>
            <w:sz w:val="24"/>
            <w:szCs w:val="24"/>
            <w:lang w:val="es-MX"/>
          </w:rPr>
          <w:id w:val="-717272750"/>
          <w:citation/>
        </w:sdtPr>
        <w:sdtContent>
          <w:r w:rsidR="00976269">
            <w:rPr>
              <w:rFonts w:ascii="Calibri" w:hAnsi="Calibri" w:cs="Calibri"/>
              <w:sz w:val="24"/>
              <w:szCs w:val="24"/>
              <w:lang w:val="es-MX"/>
            </w:rPr>
            <w:fldChar w:fldCharType="begin"/>
          </w:r>
          <w:r w:rsidR="00976269">
            <w:rPr>
              <w:rFonts w:ascii="Calibri" w:hAnsi="Calibri" w:cs="Calibri"/>
              <w:sz w:val="24"/>
              <w:szCs w:val="24"/>
              <w:lang w:val="es-ES"/>
            </w:rPr>
            <w:instrText xml:space="preserve"> CITATION And12 \l 3082 </w:instrText>
          </w:r>
          <w:r w:rsidR="00976269">
            <w:rPr>
              <w:rFonts w:ascii="Calibri" w:hAnsi="Calibri" w:cs="Calibri"/>
              <w:sz w:val="24"/>
              <w:szCs w:val="24"/>
              <w:lang w:val="es-MX"/>
            </w:rPr>
            <w:fldChar w:fldCharType="separate"/>
          </w:r>
          <w:r w:rsidR="00976269" w:rsidRPr="00976269">
            <w:rPr>
              <w:rFonts w:ascii="Calibri" w:hAnsi="Calibri" w:cs="Calibri"/>
              <w:noProof/>
              <w:sz w:val="24"/>
              <w:szCs w:val="24"/>
              <w:lang w:val="es-ES"/>
            </w:rPr>
            <w:t>(Anderson, Karumanchi, &amp; Iagnemma, 2012)</w:t>
          </w:r>
          <w:r w:rsidR="00976269">
            <w:rPr>
              <w:rFonts w:ascii="Calibri" w:hAnsi="Calibri" w:cs="Calibri"/>
              <w:sz w:val="24"/>
              <w:szCs w:val="24"/>
              <w:lang w:val="es-MX"/>
            </w:rPr>
            <w:fldChar w:fldCharType="end"/>
          </w:r>
        </w:sdtContent>
      </w:sdt>
      <w:r w:rsidR="00976269">
        <w:rPr>
          <w:rFonts w:ascii="Calibri" w:hAnsi="Calibri" w:cs="Calibri"/>
          <w:sz w:val="24"/>
          <w:szCs w:val="24"/>
          <w:lang w:val="es-MX"/>
        </w:rPr>
        <w:t>.</w:t>
      </w:r>
      <w:r w:rsidR="0093085C">
        <w:rPr>
          <w:rFonts w:ascii="Calibri" w:hAnsi="Calibri" w:cs="Calibri"/>
          <w:sz w:val="24"/>
          <w:szCs w:val="24"/>
          <w:lang w:val="es-MX"/>
        </w:rPr>
        <w:t xml:space="preserve"> </w:t>
      </w:r>
    </w:p>
    <w:p w14:paraId="7CFC7BD7" w14:textId="77777777" w:rsidR="0093085C" w:rsidRDefault="0093085C" w:rsidP="0093085C">
      <w:pPr>
        <w:rPr>
          <w:rFonts w:ascii="Calibri" w:hAnsi="Calibri" w:cs="Calibri"/>
          <w:sz w:val="24"/>
          <w:szCs w:val="24"/>
          <w:lang w:val="es-MX"/>
        </w:rPr>
      </w:pPr>
    </w:p>
    <w:p w14:paraId="7D29C74E" w14:textId="0F519A3E" w:rsidR="0093085C" w:rsidRDefault="0093085C" w:rsidP="0093085C">
      <w:pPr>
        <w:rPr>
          <w:rFonts w:ascii="Calibri" w:hAnsi="Calibri" w:cs="Calibri"/>
          <w:sz w:val="24"/>
          <w:szCs w:val="24"/>
          <w:lang w:val="es-MX"/>
        </w:rPr>
      </w:pPr>
      <w:r>
        <w:rPr>
          <w:rFonts w:ascii="Calibri" w:hAnsi="Calibri" w:cs="Calibri"/>
          <w:sz w:val="24"/>
          <w:szCs w:val="24"/>
          <w:lang w:val="es-MX"/>
        </w:rPr>
        <w:t>El método de k-</w:t>
      </w:r>
      <w:proofErr w:type="spellStart"/>
      <w:r>
        <w:rPr>
          <w:rFonts w:ascii="Calibri" w:hAnsi="Calibri" w:cs="Calibri"/>
          <w:sz w:val="24"/>
          <w:szCs w:val="24"/>
          <w:lang w:val="es-MX"/>
        </w:rPr>
        <w:t>means</w:t>
      </w:r>
      <w:proofErr w:type="spellEnd"/>
      <w:r>
        <w:rPr>
          <w:rFonts w:ascii="Calibri" w:hAnsi="Calibri" w:cs="Calibri"/>
          <w:sz w:val="24"/>
          <w:szCs w:val="24"/>
          <w:lang w:val="es-MX"/>
        </w:rPr>
        <w:t>, implica</w:t>
      </w:r>
      <w:r w:rsidR="00474245">
        <w:rPr>
          <w:rFonts w:ascii="Calibri" w:hAnsi="Calibri" w:cs="Calibri"/>
          <w:sz w:val="24"/>
          <w:szCs w:val="24"/>
          <w:lang w:val="es-MX"/>
        </w:rPr>
        <w:t xml:space="preserve">, al recibir una gran cantidad de datos, averiguar a que </w:t>
      </w:r>
      <w:proofErr w:type="spellStart"/>
      <w:proofErr w:type="gramStart"/>
      <w:r w:rsidR="00474245">
        <w:rPr>
          <w:rFonts w:ascii="Calibri" w:hAnsi="Calibri" w:cs="Calibri"/>
          <w:sz w:val="24"/>
          <w:szCs w:val="24"/>
          <w:lang w:val="es-MX"/>
        </w:rPr>
        <w:t>cluster</w:t>
      </w:r>
      <w:proofErr w:type="spellEnd"/>
      <w:proofErr w:type="gramEnd"/>
      <w:r w:rsidR="00474245">
        <w:rPr>
          <w:rFonts w:ascii="Calibri" w:hAnsi="Calibri" w:cs="Calibri"/>
          <w:sz w:val="24"/>
          <w:szCs w:val="24"/>
          <w:lang w:val="es-MX"/>
        </w:rPr>
        <w:t xml:space="preserve"> pertenece cada dato, según la media (o centro) de cada uno de estos. Básicamente, la relación con Voronoi significa que, cada centro de </w:t>
      </w:r>
      <w:proofErr w:type="spellStart"/>
      <w:proofErr w:type="gramStart"/>
      <w:r w:rsidR="00474245">
        <w:rPr>
          <w:rFonts w:ascii="Calibri" w:hAnsi="Calibri" w:cs="Calibri"/>
          <w:sz w:val="24"/>
          <w:szCs w:val="24"/>
          <w:lang w:val="es-MX"/>
        </w:rPr>
        <w:t>cluster</w:t>
      </w:r>
      <w:proofErr w:type="spellEnd"/>
      <w:proofErr w:type="gramEnd"/>
      <w:r w:rsidR="00474245">
        <w:rPr>
          <w:rFonts w:ascii="Calibri" w:hAnsi="Calibri" w:cs="Calibri"/>
          <w:sz w:val="24"/>
          <w:szCs w:val="24"/>
          <w:lang w:val="es-MX"/>
        </w:rPr>
        <w:t xml:space="preserve"> tiene su propio “territorio”, y esto da una visualización muy buena (además de que, con el algoritmo adecuado, Voronoi se puede implementar rápidamente) de cómo están repartidos los datos. La desventaja aquí sería, si las formas de los </w:t>
      </w:r>
      <w:proofErr w:type="spellStart"/>
      <w:proofErr w:type="gramStart"/>
      <w:r w:rsidR="00474245">
        <w:rPr>
          <w:rFonts w:ascii="Calibri" w:hAnsi="Calibri" w:cs="Calibri"/>
          <w:sz w:val="24"/>
          <w:szCs w:val="24"/>
          <w:lang w:val="es-MX"/>
        </w:rPr>
        <w:t>clusters</w:t>
      </w:r>
      <w:proofErr w:type="spellEnd"/>
      <w:proofErr w:type="gramEnd"/>
      <w:r w:rsidR="00474245">
        <w:rPr>
          <w:rFonts w:ascii="Calibri" w:hAnsi="Calibri" w:cs="Calibri"/>
          <w:sz w:val="24"/>
          <w:szCs w:val="24"/>
          <w:lang w:val="es-MX"/>
        </w:rPr>
        <w:t xml:space="preserve">, en lugar de ser como nubes, son muy alargadas, o son muy pequeño, Voronoi tiene dificultades serias al adaptarse, o sea, acabará separando a miembros que deberían ser del mismo </w:t>
      </w:r>
      <w:proofErr w:type="spellStart"/>
      <w:proofErr w:type="gramStart"/>
      <w:r w:rsidR="00474245">
        <w:rPr>
          <w:rFonts w:ascii="Calibri" w:hAnsi="Calibri" w:cs="Calibri"/>
          <w:sz w:val="24"/>
          <w:szCs w:val="24"/>
          <w:lang w:val="es-MX"/>
        </w:rPr>
        <w:t>cluster</w:t>
      </w:r>
      <w:proofErr w:type="spellEnd"/>
      <w:proofErr w:type="gramEnd"/>
      <w:r w:rsidR="00474245">
        <w:rPr>
          <w:rFonts w:ascii="Calibri" w:hAnsi="Calibri" w:cs="Calibri"/>
          <w:sz w:val="24"/>
          <w:szCs w:val="24"/>
          <w:lang w:val="es-MX"/>
        </w:rPr>
        <w:t>, y juntando a algunos que no deberían ser “compañeros”.</w:t>
      </w:r>
    </w:p>
    <w:p w14:paraId="6381AAA6" w14:textId="77777777" w:rsidR="00474245" w:rsidRDefault="00474245" w:rsidP="0093085C">
      <w:pPr>
        <w:rPr>
          <w:rFonts w:ascii="Calibri" w:hAnsi="Calibri" w:cs="Calibri"/>
          <w:sz w:val="24"/>
          <w:szCs w:val="24"/>
          <w:lang w:val="es-MX"/>
        </w:rPr>
      </w:pPr>
    </w:p>
    <w:p w14:paraId="47AFAFB1" w14:textId="1B8FB767" w:rsidR="00474245" w:rsidRDefault="00474245" w:rsidP="0093085C">
      <w:pPr>
        <w:rPr>
          <w:rFonts w:ascii="Calibri" w:hAnsi="Calibri" w:cs="Calibri"/>
          <w:sz w:val="24"/>
          <w:szCs w:val="24"/>
          <w:lang w:val="es-MX"/>
        </w:rPr>
      </w:pPr>
      <w:r>
        <w:rPr>
          <w:rFonts w:ascii="Calibri" w:hAnsi="Calibri" w:cs="Calibri"/>
          <w:sz w:val="24"/>
          <w:szCs w:val="24"/>
          <w:lang w:val="es-MX"/>
        </w:rPr>
        <w:t>En conclusión, vemos</w:t>
      </w:r>
      <w:r w:rsidR="009F7079">
        <w:rPr>
          <w:rFonts w:ascii="Calibri" w:hAnsi="Calibri" w:cs="Calibri"/>
          <w:sz w:val="24"/>
          <w:szCs w:val="24"/>
          <w:lang w:val="es-MX"/>
        </w:rPr>
        <w:t xml:space="preserve"> que tanto Voronoi como Delaunay, a parte de ser dos herramientas con una relación muy notable, tienen una gran cantidad de aplicaciones, ya que no son muy complejas, y son relativamente versátiles. Como en todo, puede haber desventajas, el caso de Voronoi con ciertos k-</w:t>
      </w:r>
      <w:proofErr w:type="spellStart"/>
      <w:r w:rsidR="009F7079">
        <w:rPr>
          <w:rFonts w:ascii="Calibri" w:hAnsi="Calibri" w:cs="Calibri"/>
          <w:sz w:val="24"/>
          <w:szCs w:val="24"/>
          <w:lang w:val="es-MX"/>
        </w:rPr>
        <w:t>means</w:t>
      </w:r>
      <w:proofErr w:type="spellEnd"/>
      <w:r w:rsidR="009F7079">
        <w:rPr>
          <w:rFonts w:ascii="Calibri" w:hAnsi="Calibri" w:cs="Calibri"/>
          <w:sz w:val="24"/>
          <w:szCs w:val="24"/>
          <w:lang w:val="es-MX"/>
        </w:rPr>
        <w:t xml:space="preserve"> es un ejemplo, pero, en general, son muy potentes y útiles en gran diversidad de campos, lo cual hace su estudio algo </w:t>
      </w:r>
      <w:proofErr w:type="gramStart"/>
      <w:r w:rsidR="009F7079">
        <w:rPr>
          <w:rFonts w:ascii="Calibri" w:hAnsi="Calibri" w:cs="Calibri"/>
          <w:sz w:val="24"/>
          <w:szCs w:val="24"/>
          <w:lang w:val="es-MX"/>
        </w:rPr>
        <w:t>a</w:t>
      </w:r>
      <w:proofErr w:type="gramEnd"/>
      <w:r w:rsidR="009F7079">
        <w:rPr>
          <w:rFonts w:ascii="Calibri" w:hAnsi="Calibri" w:cs="Calibri"/>
          <w:sz w:val="24"/>
          <w:szCs w:val="24"/>
          <w:lang w:val="es-MX"/>
        </w:rPr>
        <w:t xml:space="preserve"> tener en cuenta para muchos profesionales.</w:t>
      </w:r>
    </w:p>
    <w:p w14:paraId="6A95B2A4" w14:textId="77777777" w:rsidR="009F7079" w:rsidRDefault="009F7079" w:rsidP="0093085C">
      <w:pPr>
        <w:rPr>
          <w:rFonts w:ascii="Calibri" w:hAnsi="Calibri" w:cs="Calibri"/>
          <w:sz w:val="24"/>
          <w:szCs w:val="24"/>
          <w:lang w:val="es-MX"/>
        </w:rPr>
      </w:pPr>
    </w:p>
    <w:sdt>
      <w:sdtPr>
        <w:rPr>
          <w:lang w:val="es-ES"/>
        </w:rPr>
        <w:id w:val="1242218690"/>
        <w:docPartObj>
          <w:docPartGallery w:val="Bibliographies"/>
          <w:docPartUnique/>
        </w:docPartObj>
      </w:sdtPr>
      <w:sdtEndPr>
        <w:rPr>
          <w:rFonts w:asciiTheme="minorHAnsi" w:eastAsiaTheme="minorHAnsi" w:hAnsiTheme="minorHAnsi" w:cstheme="minorBidi"/>
          <w:color w:val="auto"/>
          <w:sz w:val="22"/>
          <w:szCs w:val="22"/>
          <w:lang w:val="es-ES_tradnl"/>
        </w:rPr>
      </w:sdtEndPr>
      <w:sdtContent>
        <w:p w14:paraId="5B2FE2FB" w14:textId="3A8BECBB" w:rsidR="009F7079" w:rsidRDefault="009F7079">
          <w:pPr>
            <w:pStyle w:val="Ttulo1"/>
          </w:pPr>
          <w:r>
            <w:rPr>
              <w:lang w:val="es-ES"/>
            </w:rPr>
            <w:t>Referencias</w:t>
          </w:r>
        </w:p>
        <w:sdt>
          <w:sdtPr>
            <w:id w:val="-573587230"/>
            <w:bibliography/>
          </w:sdtPr>
          <w:sdtContent>
            <w:p w14:paraId="079F9F17" w14:textId="77777777" w:rsidR="009F7079" w:rsidRDefault="009F7079" w:rsidP="009F7079">
              <w:pPr>
                <w:pStyle w:val="Bibliografa"/>
                <w:ind w:left="720" w:hanging="720"/>
                <w:rPr>
                  <w:noProof/>
                  <w:kern w:val="0"/>
                  <w:sz w:val="24"/>
                  <w:szCs w:val="24"/>
                  <w:lang w:val="es-ES"/>
                  <w14:ligatures w14:val="none"/>
                </w:rPr>
              </w:pPr>
              <w:r>
                <w:fldChar w:fldCharType="begin"/>
              </w:r>
              <w:r>
                <w:instrText>BIBLIOGRAPHY</w:instrText>
              </w:r>
              <w:r>
                <w:fldChar w:fldCharType="separate"/>
              </w:r>
              <w:r>
                <w:rPr>
                  <w:noProof/>
                  <w:lang w:val="es-ES"/>
                </w:rPr>
                <w:t xml:space="preserve">Anderson, S. J., Karumanchi, S. B., &amp; Iagnemma, K. (3 de junio de 2012). </w:t>
              </w:r>
              <w:r>
                <w:rPr>
                  <w:i/>
                  <w:iCs/>
                  <w:noProof/>
                  <w:lang w:val="es-ES"/>
                </w:rPr>
                <w:t>Constraint-based planning and control for safe, semi-autonomous operation of vehicles.</w:t>
              </w:r>
              <w:r>
                <w:rPr>
                  <w:noProof/>
                  <w:lang w:val="es-ES"/>
                </w:rPr>
                <w:t xml:space="preserve"> Obtenido de 2012 IEEE Intelligent Vehicles Symposium: https://web.archive.org/web/20190228004407/https://wiki.epfl.ch/edicpublic/documents/Candidacy%20exam/anderson-contrained_based_planning_and_control.pdf</w:t>
              </w:r>
            </w:p>
            <w:p w14:paraId="11A6F473" w14:textId="77777777" w:rsidR="009F7079" w:rsidRDefault="009F7079" w:rsidP="009F7079">
              <w:pPr>
                <w:pStyle w:val="Bibliografa"/>
                <w:ind w:left="720" w:hanging="720"/>
                <w:rPr>
                  <w:noProof/>
                  <w:lang w:val="es-ES"/>
                </w:rPr>
              </w:pPr>
              <w:r>
                <w:rPr>
                  <w:i/>
                  <w:iCs/>
                  <w:noProof/>
                  <w:lang w:val="es-ES"/>
                </w:rPr>
                <w:t>Delaunay triangulation - Wikipedia.</w:t>
              </w:r>
              <w:r>
                <w:rPr>
                  <w:noProof/>
                  <w:lang w:val="es-ES"/>
                </w:rPr>
                <w:t xml:space="preserve"> (25 de octubre de 2025). Obtenido de Wikipedia, the free encyclopedia: https://en.wikipedia.org/wiki/Delaunay_triangulation</w:t>
              </w:r>
            </w:p>
            <w:p w14:paraId="4CFC9101" w14:textId="77777777" w:rsidR="009F7079" w:rsidRDefault="009F7079" w:rsidP="009F7079">
              <w:pPr>
                <w:pStyle w:val="Bibliografa"/>
                <w:ind w:left="720" w:hanging="720"/>
                <w:rPr>
                  <w:noProof/>
                  <w:lang w:val="es-ES"/>
                </w:rPr>
              </w:pPr>
              <w:r>
                <w:rPr>
                  <w:noProof/>
                  <w:lang w:val="es-ES"/>
                </w:rPr>
                <w:t xml:space="preserve">Johnson, S. (2006). </w:t>
              </w:r>
              <w:r>
                <w:rPr>
                  <w:i/>
                  <w:iCs/>
                  <w:noProof/>
                  <w:lang w:val="es-ES"/>
                </w:rPr>
                <w:t>The Ghost Map: The Story of London's Most Terrifying Epidemic — and How It Changed Science, Cities, and the Modern World.</w:t>
              </w:r>
              <w:r>
                <w:rPr>
                  <w:noProof/>
                  <w:lang w:val="es-ES"/>
                </w:rPr>
                <w:t xml:space="preserve"> Penguin Publishing Group.</w:t>
              </w:r>
            </w:p>
            <w:p w14:paraId="1053BA2B" w14:textId="77777777" w:rsidR="009F7079" w:rsidRDefault="009F7079" w:rsidP="009F7079">
              <w:pPr>
                <w:pStyle w:val="Bibliografa"/>
                <w:ind w:left="720" w:hanging="720"/>
                <w:rPr>
                  <w:noProof/>
                  <w:lang w:val="es-ES"/>
                </w:rPr>
              </w:pPr>
              <w:r>
                <w:rPr>
                  <w:i/>
                  <w:iCs/>
                  <w:noProof/>
                  <w:lang w:val="es-ES"/>
                </w:rPr>
                <w:t>Voronoi diagram - Wikipedia.</w:t>
              </w:r>
              <w:r>
                <w:rPr>
                  <w:noProof/>
                  <w:lang w:val="es-ES"/>
                </w:rPr>
                <w:t xml:space="preserve"> (12 de noviembre de 2025). Obtenido de Wikipedia, the free encyclopedia: https://en.wikipedia.org/wiki/Voronoi_diagram</w:t>
              </w:r>
            </w:p>
            <w:p w14:paraId="5723AA1F" w14:textId="738E70D7" w:rsidR="009F7079" w:rsidRDefault="009F7079" w:rsidP="009F7079">
              <w:r>
                <w:rPr>
                  <w:b/>
                  <w:bCs/>
                </w:rPr>
                <w:fldChar w:fldCharType="end"/>
              </w:r>
            </w:p>
          </w:sdtContent>
        </w:sdt>
      </w:sdtContent>
    </w:sdt>
    <w:p w14:paraId="0DD5307C" w14:textId="77777777" w:rsidR="009F7079" w:rsidRPr="0082041A" w:rsidRDefault="009F7079" w:rsidP="0093085C">
      <w:pPr>
        <w:rPr>
          <w:rFonts w:ascii="Calibri" w:hAnsi="Calibri" w:cs="Calibri"/>
          <w:sz w:val="24"/>
          <w:szCs w:val="24"/>
          <w:lang w:val="es-MX"/>
        </w:rPr>
      </w:pPr>
    </w:p>
    <w:p w14:paraId="62AF588C" w14:textId="77777777" w:rsidR="0082041A" w:rsidRPr="0082041A" w:rsidRDefault="0082041A" w:rsidP="0082041A">
      <w:pPr>
        <w:jc w:val="center"/>
        <w:rPr>
          <w:b/>
          <w:bCs/>
          <w:sz w:val="36"/>
          <w:szCs w:val="36"/>
          <w:u w:val="single"/>
          <w:lang w:val="es-ES"/>
        </w:rPr>
      </w:pPr>
    </w:p>
    <w:sectPr w:rsidR="0082041A" w:rsidRPr="0082041A" w:rsidSect="00CB5240">
      <w:headerReference w:type="firs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A36F" w14:textId="77777777" w:rsidR="00CA38B2" w:rsidRDefault="00CA38B2" w:rsidP="0082041A">
      <w:pPr>
        <w:spacing w:after="0" w:line="240" w:lineRule="auto"/>
      </w:pPr>
      <w:r>
        <w:separator/>
      </w:r>
    </w:p>
  </w:endnote>
  <w:endnote w:type="continuationSeparator" w:id="0">
    <w:p w14:paraId="7916ACD5" w14:textId="77777777" w:rsidR="00CA38B2" w:rsidRDefault="00CA38B2" w:rsidP="00820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B2960" w14:textId="77777777" w:rsidR="00CA38B2" w:rsidRDefault="00CA38B2" w:rsidP="0082041A">
      <w:pPr>
        <w:spacing w:after="0" w:line="240" w:lineRule="auto"/>
      </w:pPr>
      <w:r>
        <w:separator/>
      </w:r>
    </w:p>
  </w:footnote>
  <w:footnote w:type="continuationSeparator" w:id="0">
    <w:p w14:paraId="4D7E8AEE" w14:textId="77777777" w:rsidR="00CA38B2" w:rsidRDefault="00CA38B2" w:rsidP="00820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0F30" w14:textId="77777777" w:rsidR="00CB5240" w:rsidRDefault="00CB5240" w:rsidP="00CB5240">
    <w:pPr>
      <w:pStyle w:val="Encabezado"/>
      <w:rPr>
        <w:rFonts w:ascii="Calibri" w:hAnsi="Calibri" w:cs="Calibri"/>
        <w:sz w:val="20"/>
        <w:szCs w:val="20"/>
        <w:lang w:val="es-ES"/>
      </w:rPr>
    </w:pPr>
    <w:r>
      <w:rPr>
        <w:rFonts w:ascii="Calibri" w:hAnsi="Calibri" w:cs="Calibri"/>
        <w:sz w:val="20"/>
        <w:szCs w:val="20"/>
        <w:lang w:val="es-ES"/>
      </w:rPr>
      <w:t>Mateo Rodrigo Zapata Crapa (A01708573)</w:t>
    </w:r>
  </w:p>
  <w:p w14:paraId="346476C9" w14:textId="77777777" w:rsidR="00CB5240" w:rsidRDefault="00CB5240" w:rsidP="00CB5240">
    <w:pPr>
      <w:pStyle w:val="Encabezado"/>
      <w:rPr>
        <w:rFonts w:ascii="Calibri" w:hAnsi="Calibri" w:cs="Calibri"/>
        <w:sz w:val="20"/>
        <w:szCs w:val="20"/>
        <w:lang w:val="es-ES"/>
      </w:rPr>
    </w:pPr>
    <w:r>
      <w:rPr>
        <w:rFonts w:ascii="Calibri" w:hAnsi="Calibri" w:cs="Calibri"/>
        <w:sz w:val="20"/>
        <w:szCs w:val="20"/>
        <w:lang w:val="es-ES"/>
      </w:rPr>
      <w:t>Análisis y diseño de algoritmos avanzados</w:t>
    </w:r>
  </w:p>
  <w:p w14:paraId="020C087A" w14:textId="306DC08E" w:rsidR="00CB5240" w:rsidRPr="00CB5240" w:rsidRDefault="00CB5240">
    <w:pPr>
      <w:pStyle w:val="Encabezado"/>
      <w:rPr>
        <w:rFonts w:ascii="Calibri" w:hAnsi="Calibri" w:cs="Calibri"/>
        <w:sz w:val="20"/>
        <w:szCs w:val="20"/>
        <w:lang w:val="es-ES"/>
      </w:rPr>
    </w:pPr>
    <w:r>
      <w:rPr>
        <w:rFonts w:ascii="Calibri" w:hAnsi="Calibri" w:cs="Calibri"/>
        <w:sz w:val="20"/>
        <w:szCs w:val="20"/>
        <w:lang w:val="es-ES"/>
      </w:rPr>
      <w:t>30-11-25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F3774"/>
    <w:multiLevelType w:val="multilevel"/>
    <w:tmpl w:val="E4869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10C65"/>
    <w:multiLevelType w:val="multilevel"/>
    <w:tmpl w:val="6792C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636119">
    <w:abstractNumId w:val="0"/>
  </w:num>
  <w:num w:numId="2" w16cid:durableId="99034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FFB"/>
    <w:rsid w:val="000853FD"/>
    <w:rsid w:val="00125ECE"/>
    <w:rsid w:val="00474245"/>
    <w:rsid w:val="00560825"/>
    <w:rsid w:val="005E28DD"/>
    <w:rsid w:val="00640495"/>
    <w:rsid w:val="0067108D"/>
    <w:rsid w:val="006C778D"/>
    <w:rsid w:val="00732D53"/>
    <w:rsid w:val="0082041A"/>
    <w:rsid w:val="008324A8"/>
    <w:rsid w:val="008D6FFB"/>
    <w:rsid w:val="0093085C"/>
    <w:rsid w:val="00976269"/>
    <w:rsid w:val="009F7079"/>
    <w:rsid w:val="00BA5E6B"/>
    <w:rsid w:val="00BC7AB4"/>
    <w:rsid w:val="00CA38B2"/>
    <w:rsid w:val="00CB5240"/>
    <w:rsid w:val="00CB5789"/>
    <w:rsid w:val="00CE03EE"/>
    <w:rsid w:val="00D24D61"/>
    <w:rsid w:val="00D73E5A"/>
    <w:rsid w:val="00E800DB"/>
    <w:rsid w:val="00E95E04"/>
    <w:rsid w:val="00EA4EFF"/>
    <w:rsid w:val="00FE49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EF244"/>
  <w15:chartTrackingRefBased/>
  <w15:docId w15:val="{E62C6BC0-80ED-4FA8-AC15-5C6FA059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8D6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6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6F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6F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6F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6F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6F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6F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6F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FFB"/>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8D6FFB"/>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8D6FF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8D6FF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8D6FF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8D6FF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8D6FF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8D6FF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8D6FF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8D6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6FF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8D6F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6FF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8D6FFB"/>
    <w:pPr>
      <w:spacing w:before="160"/>
      <w:jc w:val="center"/>
    </w:pPr>
    <w:rPr>
      <w:i/>
      <w:iCs/>
      <w:color w:val="404040" w:themeColor="text1" w:themeTint="BF"/>
    </w:rPr>
  </w:style>
  <w:style w:type="character" w:customStyle="1" w:styleId="CitaCar">
    <w:name w:val="Cita Car"/>
    <w:basedOn w:val="Fuentedeprrafopredeter"/>
    <w:link w:val="Cita"/>
    <w:uiPriority w:val="29"/>
    <w:rsid w:val="008D6FFB"/>
    <w:rPr>
      <w:i/>
      <w:iCs/>
      <w:color w:val="404040" w:themeColor="text1" w:themeTint="BF"/>
      <w:lang w:val="es-ES_tradnl"/>
    </w:rPr>
  </w:style>
  <w:style w:type="paragraph" w:styleId="Prrafodelista">
    <w:name w:val="List Paragraph"/>
    <w:basedOn w:val="Normal"/>
    <w:uiPriority w:val="34"/>
    <w:qFormat/>
    <w:rsid w:val="008D6FFB"/>
    <w:pPr>
      <w:ind w:left="720"/>
      <w:contextualSpacing/>
    </w:pPr>
  </w:style>
  <w:style w:type="character" w:styleId="nfasisintenso">
    <w:name w:val="Intense Emphasis"/>
    <w:basedOn w:val="Fuentedeprrafopredeter"/>
    <w:uiPriority w:val="21"/>
    <w:qFormat/>
    <w:rsid w:val="008D6FFB"/>
    <w:rPr>
      <w:i/>
      <w:iCs/>
      <w:color w:val="0F4761" w:themeColor="accent1" w:themeShade="BF"/>
    </w:rPr>
  </w:style>
  <w:style w:type="paragraph" w:styleId="Citadestacada">
    <w:name w:val="Intense Quote"/>
    <w:basedOn w:val="Normal"/>
    <w:next w:val="Normal"/>
    <w:link w:val="CitadestacadaCar"/>
    <w:uiPriority w:val="30"/>
    <w:qFormat/>
    <w:rsid w:val="008D6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6FFB"/>
    <w:rPr>
      <w:i/>
      <w:iCs/>
      <w:color w:val="0F4761" w:themeColor="accent1" w:themeShade="BF"/>
      <w:lang w:val="es-ES_tradnl"/>
    </w:rPr>
  </w:style>
  <w:style w:type="character" w:styleId="Referenciaintensa">
    <w:name w:val="Intense Reference"/>
    <w:basedOn w:val="Fuentedeprrafopredeter"/>
    <w:uiPriority w:val="32"/>
    <w:qFormat/>
    <w:rsid w:val="008D6FFB"/>
    <w:rPr>
      <w:b/>
      <w:bCs/>
      <w:smallCaps/>
      <w:color w:val="0F4761" w:themeColor="accent1" w:themeShade="BF"/>
      <w:spacing w:val="5"/>
    </w:rPr>
  </w:style>
  <w:style w:type="paragraph" w:styleId="Encabezado">
    <w:name w:val="header"/>
    <w:basedOn w:val="Normal"/>
    <w:link w:val="EncabezadoCar"/>
    <w:uiPriority w:val="99"/>
    <w:unhideWhenUsed/>
    <w:rsid w:val="008204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041A"/>
    <w:rPr>
      <w:lang w:val="es-ES_tradnl"/>
    </w:rPr>
  </w:style>
  <w:style w:type="paragraph" w:styleId="Piedepgina">
    <w:name w:val="footer"/>
    <w:basedOn w:val="Normal"/>
    <w:link w:val="PiedepginaCar"/>
    <w:uiPriority w:val="99"/>
    <w:unhideWhenUsed/>
    <w:rsid w:val="008204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041A"/>
    <w:rPr>
      <w:lang w:val="es-ES_tradnl"/>
    </w:rPr>
  </w:style>
  <w:style w:type="paragraph" w:styleId="Bibliografa">
    <w:name w:val="Bibliography"/>
    <w:basedOn w:val="Normal"/>
    <w:next w:val="Normal"/>
    <w:uiPriority w:val="37"/>
    <w:unhideWhenUsed/>
    <w:rsid w:val="009F7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41406">
      <w:bodyDiv w:val="1"/>
      <w:marLeft w:val="0"/>
      <w:marRight w:val="0"/>
      <w:marTop w:val="0"/>
      <w:marBottom w:val="0"/>
      <w:divBdr>
        <w:top w:val="none" w:sz="0" w:space="0" w:color="auto"/>
        <w:left w:val="none" w:sz="0" w:space="0" w:color="auto"/>
        <w:bottom w:val="none" w:sz="0" w:space="0" w:color="auto"/>
        <w:right w:val="none" w:sz="0" w:space="0" w:color="auto"/>
      </w:divBdr>
    </w:div>
    <w:div w:id="455878949">
      <w:bodyDiv w:val="1"/>
      <w:marLeft w:val="0"/>
      <w:marRight w:val="0"/>
      <w:marTop w:val="0"/>
      <w:marBottom w:val="0"/>
      <w:divBdr>
        <w:top w:val="none" w:sz="0" w:space="0" w:color="auto"/>
        <w:left w:val="none" w:sz="0" w:space="0" w:color="auto"/>
        <w:bottom w:val="none" w:sz="0" w:space="0" w:color="auto"/>
        <w:right w:val="none" w:sz="0" w:space="0" w:color="auto"/>
      </w:divBdr>
    </w:div>
    <w:div w:id="636645910">
      <w:bodyDiv w:val="1"/>
      <w:marLeft w:val="0"/>
      <w:marRight w:val="0"/>
      <w:marTop w:val="0"/>
      <w:marBottom w:val="0"/>
      <w:divBdr>
        <w:top w:val="none" w:sz="0" w:space="0" w:color="auto"/>
        <w:left w:val="none" w:sz="0" w:space="0" w:color="auto"/>
        <w:bottom w:val="none" w:sz="0" w:space="0" w:color="auto"/>
        <w:right w:val="none" w:sz="0" w:space="0" w:color="auto"/>
      </w:divBdr>
    </w:div>
    <w:div w:id="1416197805">
      <w:bodyDiv w:val="1"/>
      <w:marLeft w:val="0"/>
      <w:marRight w:val="0"/>
      <w:marTop w:val="0"/>
      <w:marBottom w:val="0"/>
      <w:divBdr>
        <w:top w:val="none" w:sz="0" w:space="0" w:color="auto"/>
        <w:left w:val="none" w:sz="0" w:space="0" w:color="auto"/>
        <w:bottom w:val="none" w:sz="0" w:space="0" w:color="auto"/>
        <w:right w:val="none" w:sz="0" w:space="0" w:color="auto"/>
      </w:divBdr>
    </w:div>
    <w:div w:id="150072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Vor25</b:Tag>
    <b:SourceType>DocumentFromInternetSite</b:SourceType>
    <b:Guid>{6AE5D828-518E-458A-89F1-E111CBD0B6CD}</b:Guid>
    <b:Title>Voronoi diagram - Wikipedia</b:Title>
    <b:InternetSiteTitle>Wikipedia, the free encyclopedia</b:InternetSiteTitle>
    <b:Year>2025</b:Year>
    <b:Month>noviembre</b:Month>
    <b:Day>12</b:Day>
    <b:URL>https://en.wikipedia.org/wiki/Voronoi_diagram</b:URL>
    <b:RefOrder>1</b:RefOrder>
  </b:Source>
  <b:Source>
    <b:Tag>Del25</b:Tag>
    <b:SourceType>DocumentFromInternetSite</b:SourceType>
    <b:Guid>{D99536AF-0F4B-4FFE-9819-CCBB26149D3F}</b:Guid>
    <b:Title>Delaunay triangulation - Wikipedia</b:Title>
    <b:InternetSiteTitle>Wikipedia, the free encyclopedia</b:InternetSiteTitle>
    <b:Year>2025</b:Year>
    <b:Month>octubre</b:Month>
    <b:Day>25</b:Day>
    <b:URL>https://en.wikipedia.org/wiki/Delaunay_triangulation</b:URL>
    <b:RefOrder>2</b:RefOrder>
  </b:Source>
  <b:Source>
    <b:Tag>Joh06</b:Tag>
    <b:SourceType>Book</b:SourceType>
    <b:Guid>{A5C9070A-2F51-4B65-9414-F3B6D73AE85E}</b:Guid>
    <b:Title>The Ghost Map: The Story of London's Most Terrifying Epidemic — and How It Changed Science, Cities, and the Modern World</b:Title>
    <b:Year>2006</b:Year>
    <b:Author>
      <b:Author>
        <b:NameList>
          <b:Person>
            <b:Last>Johnson</b:Last>
            <b:First>Steven</b:First>
          </b:Person>
        </b:NameList>
      </b:Author>
    </b:Author>
    <b:Publisher>Penguin Publishing Group</b:Publisher>
    <b:RefOrder>3</b:RefOrder>
  </b:Source>
  <b:Source>
    <b:Tag>And12</b:Tag>
    <b:SourceType>DocumentFromInternetSite</b:SourceType>
    <b:Guid>{513F1646-7EA2-40D2-8DBB-E92CD914ECEC}</b:Guid>
    <b:Title>Constraint-based planning and control for safe, semi-autonomous operation of vehicles</b:Title>
    <b:Year>2012</b:Year>
    <b:Author>
      <b:Author>
        <b:NameList>
          <b:Person>
            <b:Last>Anderson</b:Last>
            <b:First>Sterling</b:First>
            <b:Middle>J</b:Middle>
          </b:Person>
          <b:Person>
            <b:Last>Karumanchi</b:Last>
            <b:First>Sisir</b:First>
            <b:Middle>B.</b:Middle>
          </b:Person>
          <b:Person>
            <b:Last>Iagnemma</b:Last>
            <b:First>Karl</b:First>
          </b:Person>
        </b:NameList>
      </b:Author>
    </b:Author>
    <b:InternetSiteTitle>2012 IEEE Intelligent Vehicles Symposium</b:InternetSiteTitle>
    <b:Month>junio</b:Month>
    <b:Day>3</b:Day>
    <b:URL>https://web.archive.org/web/20190228004407/https://wiki.epfl.ch/edicpublic/documents/Candidacy%20exam/anderson-contrained_based_planning_and_control.pdf</b:URL>
    <b:RefOrder>4</b:RefOrder>
  </b:Source>
</b:Sources>
</file>

<file path=customXml/itemProps1.xml><?xml version="1.0" encoding="utf-8"?>
<ds:datastoreItem xmlns:ds="http://schemas.openxmlformats.org/officeDocument/2006/customXml" ds:itemID="{2FA44654-3DD9-4B42-AFC7-CBEDC1220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Pages>
  <Words>919</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Rodrigo Zapata Crapa</dc:creator>
  <cp:keywords/>
  <dc:description/>
  <cp:lastModifiedBy>Mateo Rodrigo Zapata Crapa</cp:lastModifiedBy>
  <cp:revision>18</cp:revision>
  <dcterms:created xsi:type="dcterms:W3CDTF">2025-12-01T03:19:00Z</dcterms:created>
  <dcterms:modified xsi:type="dcterms:W3CDTF">2025-12-01T05:54:00Z</dcterms:modified>
</cp:coreProperties>
</file>