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skanowanie-hiperspektralne"/>
    <w:p>
      <w:pPr>
        <w:pStyle w:val="Heading1"/>
      </w:pPr>
      <w:r>
        <w:t xml:space="preserve">Skanowanie hiperspektralne</w:t>
      </w:r>
    </w:p>
    <w:bookmarkStart w:id="20" w:name="przygotowanie-rdzeni"/>
    <w:p>
      <w:pPr>
        <w:pStyle w:val="Heading2"/>
      </w:pPr>
      <w:r>
        <w:rPr>
          <w:bCs/>
          <w:b/>
        </w:rPr>
        <w:t xml:space="preserve">Przygotowanie rdzeni</w:t>
      </w:r>
    </w:p>
    <w:p>
      <w:pPr>
        <w:pStyle w:val="FirstParagraph"/>
      </w:pPr>
      <w:r>
        <w:t xml:space="preserve">Rdzenie muszą zostać oczyszczone i w miarę możliwości wyrównane. Należy usunąć wierzchnią warstwę osadu, starając się nie powodować powstawania linii po wyrównywaniu. Szczególnie istotne w przypadku drobnej laminacji. Woda i wilgoć na powierzchni rdzeni, oraz świeże, ciemne osady utrudniają analizę spektralną. Po oczyszczeniu rdzenie należy zabezpieczyć i pozostawić w ciemnym pomieszczeniu do czasu wyschnięcia powierzchni. Rdzenie przechowywać w ciemnym miejscu w celu uniknięcia</w:t>
      </w:r>
      <w:r>
        <w:t xml:space="preserve"> </w:t>
      </w:r>
      <w:r>
        <w:rPr>
          <w:bCs/>
          <w:b/>
        </w:rPr>
        <w:t xml:space="preserve">fotodegradacji</w:t>
      </w:r>
      <w:r>
        <w:t xml:space="preserve">. Rdzeni nie należy pozostawiać do wyschnięcia na długo, ponieważ zaczną pękać. Najlepiej przygotować je po południu i sprawdzić na drugi dzień. Jeśli rdzeń jest wyrównany, ale jedna ze stron się zapada, można zastosować podkładkę w celu wyrównania poziomu.</w:t>
      </w:r>
    </w:p>
    <w:bookmarkEnd w:id="20"/>
    <w:bookmarkStart w:id="23" w:name="przygotowanie-do-pracy"/>
    <w:p>
      <w:pPr>
        <w:pStyle w:val="Heading2"/>
      </w:pPr>
      <w:r>
        <w:t xml:space="preserve">Przygotowanie do pracy</w:t>
      </w:r>
    </w:p>
    <w:bookmarkStart w:id="21" w:name="wybór-ustawień"/>
    <w:p>
      <w:pPr>
        <w:pStyle w:val="Heading3"/>
      </w:pPr>
      <w:r>
        <w:t xml:space="preserve">Wybór ustawień</w:t>
      </w:r>
    </w:p>
    <w:p>
      <w:pPr>
        <w:numPr>
          <w:ilvl w:val="0"/>
          <w:numId w:val="1001"/>
        </w:numPr>
      </w:pPr>
      <w:r>
        <w:t xml:space="preserve">Wąskie rdzenie (≈ Φ 63 mm): obiektyw 50.0 mm razem z aluminiową podkładką pod rdzeń.</w:t>
      </w:r>
    </w:p>
    <w:p>
      <w:pPr>
        <w:numPr>
          <w:ilvl w:val="0"/>
          <w:numId w:val="1001"/>
        </w:numPr>
      </w:pPr>
      <w:r>
        <w:t xml:space="preserve">Szerokie rdzenie (≈ Φ 90 mm): obiektyw 18.5 mm.</w:t>
      </w:r>
    </w:p>
    <w:bookmarkEnd w:id="21"/>
    <w:bookmarkStart w:id="22" w:name="przygotowanie-stanowiska"/>
    <w:p>
      <w:pPr>
        <w:pStyle w:val="Heading3"/>
      </w:pPr>
      <w:r>
        <w:t xml:space="preserve">Przygotowanie stanowiska</w:t>
      </w:r>
    </w:p>
    <w:p>
      <w:pPr>
        <w:numPr>
          <w:ilvl w:val="0"/>
          <w:numId w:val="1002"/>
        </w:numPr>
      </w:pPr>
      <w:r>
        <w:t xml:space="preserve">Włączyć zasilacz awaryjny UPS pod stołem.</w:t>
      </w:r>
    </w:p>
    <w:p>
      <w:pPr>
        <w:numPr>
          <w:ilvl w:val="0"/>
          <w:numId w:val="1002"/>
        </w:numPr>
      </w:pPr>
      <w:r>
        <w:t xml:space="preserve">Włączyć komputer (przełączniki od dołu do góry).</w:t>
      </w:r>
    </w:p>
    <w:p>
      <w:pPr>
        <w:numPr>
          <w:ilvl w:val="0"/>
          <w:numId w:val="1002"/>
        </w:numPr>
      </w:pPr>
      <w:r>
        <w:t xml:space="preserve">Włączyć iluminator (przełącznik z przodu urządzenia).</w:t>
      </w:r>
    </w:p>
    <w:p>
      <w:pPr>
        <w:numPr>
          <w:ilvl w:val="0"/>
          <w:numId w:val="1002"/>
        </w:numPr>
      </w:pPr>
      <w:r>
        <w:t xml:space="preserve">Upewnić się, że włączony jest tryb VNIR (przełącznik z przodu urządzenia).</w:t>
      </w:r>
    </w:p>
    <w:p>
      <w:pPr>
        <w:numPr>
          <w:ilvl w:val="0"/>
          <w:numId w:val="1002"/>
        </w:numPr>
      </w:pPr>
      <w:r>
        <w:t xml:space="preserve">Ostrożnie usunąć osłonę obiektywu.</w:t>
      </w:r>
    </w:p>
    <w:p>
      <w:pPr>
        <w:numPr>
          <w:ilvl w:val="0"/>
          <w:numId w:val="1002"/>
        </w:numPr>
      </w:pPr>
      <w:r>
        <w:t xml:space="preserve">Ułożyć rdzeń na prowadnicy, stropem do góry.</w:t>
      </w:r>
    </w:p>
    <w:p>
      <w:pPr>
        <w:numPr>
          <w:ilvl w:val="0"/>
          <w:numId w:val="1002"/>
        </w:numPr>
      </w:pPr>
      <w:r>
        <w:t xml:space="preserve">Ustawić stolik ze wzorcem bieli oraz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na równi z powierzchnią rdzenia.</w:t>
      </w:r>
    </w:p>
    <w:p>
      <w:pPr>
        <w:numPr>
          <w:ilvl w:val="0"/>
          <w:numId w:val="1002"/>
        </w:numPr>
      </w:pPr>
      <w:r>
        <w:t xml:space="preserve">Ustawić miarkę na równi z rdzeniem, możliwie równolegle. W miarę konieczności ułożyć miarę na rdzeniu, równoległe ułożenie jest priorytetem.</w:t>
      </w:r>
    </w:p>
    <w:p>
      <w:pPr>
        <w:numPr>
          <w:ilvl w:val="0"/>
          <w:numId w:val="1002"/>
        </w:numPr>
      </w:pPr>
      <w:r>
        <w:t xml:space="preserve">Ostrożnie umieścić wzorzec bieli na stoliku (sztabka BaSO</w:t>
      </w:r>
      <w:r>
        <w:rPr>
          <w:vertAlign w:val="subscript"/>
        </w:rPr>
        <w:t xml:space="preserve">4</w:t>
      </w:r>
      <w:r>
        <w:t xml:space="preserve">) – deliaktnie usunąć kurz, łapać tylko za boki.</w:t>
      </w:r>
    </w:p>
    <w:bookmarkEnd w:id="22"/>
    <w:bookmarkEnd w:id="23"/>
    <w:bookmarkStart w:id="31" w:name="oprogramowanie-lumo-scanner"/>
    <w:p>
      <w:pPr>
        <w:pStyle w:val="Heading2"/>
      </w:pPr>
      <w:r>
        <w:t xml:space="preserve">Oprogramowanie „Lumo Scanner”</w:t>
      </w:r>
    </w:p>
    <w:bookmarkStart w:id="24" w:name="zakładka-setup"/>
    <w:p>
      <w:pPr>
        <w:pStyle w:val="Heading3"/>
      </w:pPr>
      <w:r>
        <w:t xml:space="preserve">Zakładka „Setup”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, wybrać odpowiednią kamerę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calibration pack</w:t>
      </w:r>
      <w:r>
        <w:t xml:space="preserve"> </w:t>
      </w:r>
      <w:r>
        <w:t xml:space="preserve">wybrać odpowiedni plik kalibracyjny, zależny od obiektywu.</w:t>
      </w:r>
    </w:p>
    <w:p>
      <w:pPr>
        <w:numPr>
          <w:ilvl w:val="1"/>
          <w:numId w:val="1004"/>
        </w:numPr>
      </w:pPr>
      <w:r>
        <w:t xml:space="preserve">Obiektyw 18.5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Specim\Documents\Calibration\560025_20211124_OLE18.5_calpack.scp</w:t>
      </w:r>
    </w:p>
    <w:p>
      <w:pPr>
        <w:numPr>
          <w:ilvl w:val="1"/>
          <w:numId w:val="1004"/>
        </w:numPr>
      </w:pPr>
      <w:r>
        <w:t xml:space="preserve">Obiektyw 50.0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Specim\Documents\Calibration\560025_20211124_OL50_calpack.scp</w:t>
      </w:r>
    </w:p>
    <w:p>
      <w:pPr>
        <w:numPr>
          <w:ilvl w:val="0"/>
          <w:numId w:val="1003"/>
        </w:numPr>
      </w:pPr>
      <w:r>
        <w:t xml:space="preserve">Zmiana obiektywu wymaga ponownego uruchomienia programu i połączenia z kamerą.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: połączyć program z napędem skanera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Capture folder</w:t>
      </w:r>
      <w:r>
        <w:t xml:space="preserve">: wybrać folder, w którym będą zapisywane dane.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prefix</w:t>
      </w:r>
      <w:r>
        <w:t xml:space="preserve">: wspólny przedrostek (</w:t>
      </w:r>
      <w:r>
        <w:rPr>
          <w:iCs/>
          <w:i/>
        </w:rPr>
        <w:t xml:space="preserve">prefix</w:t>
      </w:r>
      <w:r>
        <w:t xml:space="preserve">) zbioru danych (np. GOR-20).</w:t>
      </w:r>
    </w:p>
    <w:bookmarkEnd w:id="24"/>
    <w:bookmarkStart w:id="29" w:name="zakładka-adjust"/>
    <w:p>
      <w:pPr>
        <w:pStyle w:val="Heading3"/>
      </w:pPr>
      <w:r>
        <w:t xml:space="preserve">Zakładka „Adjust”</w:t>
      </w:r>
    </w:p>
    <w:p>
      <w:pPr>
        <w:numPr>
          <w:ilvl w:val="0"/>
          <w:numId w:val="1005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Spectral binning</w:t>
      </w:r>
      <w:r>
        <w:t xml:space="preserve">: 2</w:t>
      </w:r>
    </w:p>
    <w:p>
      <w:pPr>
        <w:numPr>
          <w:ilvl w:val="0"/>
          <w:numId w:val="1000"/>
        </w:numPr>
      </w:pPr>
      <w:r>
        <w:t xml:space="preserve">W przypadku skanowania tylko w celu wykonania dokumentacji fotograficznej można zmienić wartość na 1.</w:t>
      </w:r>
    </w:p>
    <w:p>
      <w:pPr>
        <w:numPr>
          <w:ilvl w:val="0"/>
          <w:numId w:val="1005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Spatial binning</w:t>
      </w:r>
      <w:r>
        <w:t xml:space="preserve">: 1</w:t>
      </w:r>
    </w:p>
    <w:p>
      <w:pPr>
        <w:numPr>
          <w:ilvl w:val="0"/>
          <w:numId w:val="1000"/>
        </w:numPr>
      </w:pPr>
      <w:r>
        <w:t xml:space="preserve">Ta wartość ma charakter stały, nie należy jej zmieniać.</w:t>
      </w:r>
    </w:p>
    <w:p>
      <w:pPr>
        <w:numPr>
          <w:ilvl w:val="0"/>
          <w:numId w:val="1005"/>
        </w:numPr>
      </w:pPr>
      <w:r>
        <w:t xml:space="preserve">Ustawić kamerę na takiej wysokości, aby objęła cały rdzeń razem z miarą oraz niewielkim zapasem (około 1 cm) z obu stron. Rdzeń można przesuwać do przodu i do tyłu odpowiednimi przyciskami w polu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. Przy podglądzie należy upewnić się, że widać całość rejestrowanego przez kamerę obrazu.</w:t>
      </w:r>
    </w:p>
    <w:p>
      <w:pPr>
        <w:numPr>
          <w:ilvl w:val="0"/>
          <w:numId w:val="1005"/>
        </w:numPr>
      </w:pPr>
      <w:r>
        <w:t xml:space="preserve">Po wybraniu odpowiedniej wysokości należy ustawić skaner na obszar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w polu</w:t>
      </w:r>
      <w:r>
        <w:t xml:space="preserve"> </w:t>
      </w:r>
      <w:r>
        <w:rPr>
          <w:rStyle w:val="VerbatimChar"/>
        </w:rPr>
        <w:t xml:space="preserve">Sensor 1</w:t>
      </w:r>
      <w:r>
        <w:t xml:space="preserve"> </w:t>
      </w:r>
      <w:r>
        <w:t xml:space="preserve">position –</w:t>
      </w:r>
      <w:r>
        <w:t xml:space="preserve"> </w:t>
      </w:r>
      <w:r>
        <w:rPr>
          <w:rStyle w:val="VerbatimChar"/>
        </w:rPr>
        <w:t xml:space="preserve">Go</w:t>
      </w:r>
      <w:r>
        <w:t xml:space="preserve">.</w:t>
      </w:r>
    </w:p>
    <w:p>
      <w:pPr>
        <w:numPr>
          <w:ilvl w:val="0"/>
          <w:numId w:val="1000"/>
        </w:numPr>
        <w:pStyle w:val="Heading4"/>
      </w:pPr>
      <w:bookmarkStart w:id="25" w:name="ekspozycja"/>
      <w:r>
        <w:t xml:space="preserve">Ekspozycja</w:t>
      </w:r>
      <w:bookmarkEnd w:id="25"/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ustawić opcje ekspozycji.</w:t>
      </w:r>
    </w:p>
    <w:p>
      <w:pPr>
        <w:numPr>
          <w:ilvl w:val="0"/>
          <w:numId w:val="1000"/>
        </w:numPr>
      </w:pPr>
      <w:r>
        <w:t xml:space="preserve">Celem jest zmaksymalizowanie jasności bez osiągnięcia nadmiernej ekspozycji (</w:t>
      </w:r>
      <w:r>
        <w:rPr>
          <w:iCs/>
          <w:i/>
        </w:rPr>
        <w:t xml:space="preserve">overexposure</w:t>
      </w:r>
      <w:r>
        <w:t xml:space="preserve">) widocznej jako czerwone piksele na podglądzie.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detector</w:t>
      </w:r>
      <w:r>
        <w:t xml:space="preserve"> </w:t>
      </w:r>
      <w:r>
        <w:t xml:space="preserve">(lewy górny wykres) przesunąć białą linię nad środek białego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możliwie blisko środka pola</w:t>
      </w:r>
      <w:r>
        <w:t xml:space="preserve"> </w:t>
      </w:r>
      <w:r>
        <w:rPr>
          <w:rStyle w:val="VerbatimChar"/>
        </w:rPr>
        <w:t xml:space="preserve">focus grid</w:t>
      </w:r>
      <w:r>
        <w:t xml:space="preserve"> </w:t>
      </w:r>
      <w:r>
        <w:t xml:space="preserve">(centralnie pod obiektywem).</w:t>
      </w:r>
    </w:p>
    <w:p>
      <w:pPr>
        <w:numPr>
          <w:ilvl w:val="0"/>
          <w:numId w:val="1000"/>
        </w:numPr>
      </w:pPr>
      <w:r>
        <w:t xml:space="preserve">Wartości rejestrowane na linii widoczne są w panelu Wavelenght (dolny lewy wykres). Celem jest osiągnięcie maksymalnej wartości dla białej krzywej bez przekroczenia maksymalnych wartości na osi Y (osiągnąć powyżej 80%, ale pozostawić pewien zapas). Zwiększenie jasności polega na zwiększeniu wartości czasu ekspozycji (</w:t>
      </w:r>
      <w:r>
        <w:rPr>
          <w:iCs/>
          <w:i/>
        </w:rPr>
        <w:t xml:space="preserve">exposure time</w:t>
      </w:r>
      <w:r>
        <w:t xml:space="preserve">, ET). ET zmienia się odwrotnie do częstotliwości wyświetlania klatek (</w:t>
      </w:r>
      <w:r>
        <w:rPr>
          <w:iCs/>
          <w:i/>
        </w:rPr>
        <w:t xml:space="preserve">frame rate</w:t>
      </w:r>
      <w:r>
        <w:t xml:space="preserve">, FR).</w:t>
      </w:r>
    </w:p>
    <w:p>
      <w:pPr>
        <w:numPr>
          <w:ilvl w:val="0"/>
          <w:numId w:val="1005"/>
        </w:numPr>
      </w:pPr>
      <w:r>
        <w:t xml:space="preserve">Metodą prób i błędów ustawić FR (frame rate),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, ustawić maksymalną możliwą ekspozycję,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 Sprawdzić wykres w panelu</w:t>
      </w:r>
      <w:r>
        <w:t xml:space="preserve"> </w:t>
      </w:r>
      <w:r>
        <w:rPr>
          <w:rStyle w:val="VerbatimChar"/>
        </w:rPr>
        <w:t xml:space="preserve">Wavelenght</w:t>
      </w:r>
      <w:r>
        <w:t xml:space="preserve"> </w:t>
      </w:r>
      <w:r>
        <w:t xml:space="preserve">(lewy dolny wykres), w miarę konieczności skorygować, za każdym razem ustawiając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Każda zmiana wysokości stolika lub kamery (dystansu optycznego) wymaga korekty jasności i zastosowania nowych wartości.</w:t>
      </w:r>
    </w:p>
    <w:p>
      <w:pPr>
        <w:numPr>
          <w:ilvl w:val="0"/>
          <w:numId w:val="1000"/>
        </w:numPr>
        <w:pStyle w:val="Heading4"/>
      </w:pPr>
      <w:bookmarkStart w:id="26" w:name="ostrość"/>
      <w:r>
        <w:t xml:space="preserve">Ostrość</w:t>
      </w:r>
      <w:bookmarkEnd w:id="26"/>
    </w:p>
    <w:p>
      <w:pPr>
        <w:numPr>
          <w:ilvl w:val="0"/>
          <w:numId w:val="1005"/>
        </w:numPr>
      </w:pPr>
      <w:r>
        <w:t xml:space="preserve">Po uzyskaniu właściwej jasności należy dokonać korekty ostrości w oparciu o wykresy: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(prawy górny wykres) oraz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(prawy dolny wykres). Pomoc stanowi również prawy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Należy obracać obiektywem tak aby osiągnąć możliwe wyraźne białe i czarne pasy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oraz możliwie ostre, spłaszczone piki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. Wykres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 Ostre krawędzie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oznaczają wysoki kontrast między czarnymi i białymi pasami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. Kolor paska w panelu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należy traktować jako wskazówkę. Metodą prób i błędów, przez przekroczenie ostrości w obu kierunkach zawęzić pole wyostrzania w celu osiągnięcia możliwie ostrego obrazu. Dobry obraz jest wyraźny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, „kanciasty”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a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pokazuje pomarańczowy lub zielony pasek.</w:t>
      </w:r>
    </w:p>
    <w:p>
      <w:pPr>
        <w:numPr>
          <w:ilvl w:val="0"/>
          <w:numId w:val="1000"/>
        </w:numPr>
        <w:pStyle w:val="Heading4"/>
      </w:pPr>
      <w:bookmarkStart w:id="27" w:name="prędkość-skanowania"/>
      <w:r>
        <w:t xml:space="preserve">Prędkość skanowania</w:t>
      </w:r>
      <w:bookmarkEnd w:id="27"/>
    </w:p>
    <w:p>
      <w:pPr>
        <w:numPr>
          <w:ilvl w:val="0"/>
          <w:numId w:val="1005"/>
        </w:numPr>
      </w:pPr>
      <w:r>
        <w:t xml:space="preserve">Prędkość skanowania należy ocenić na podstawie pola widzenia kamery (</w:t>
      </w:r>
      <w:r>
        <w:rPr>
          <w:iCs/>
          <w:i/>
        </w:rPr>
        <w:t xml:space="preserve">field of view</w:t>
      </w:r>
      <w:r>
        <w:t xml:space="preserve">, FOV).</w:t>
      </w:r>
    </w:p>
    <w:p>
      <w:pPr>
        <w:numPr>
          <w:ilvl w:val="0"/>
          <w:numId w:val="1005"/>
        </w:numPr>
      </w:pPr>
      <w:r>
        <w:t xml:space="preserve">Najpierw w zakładce „Adjust” przesunąć zdecydowanie rdzeń przyciskami w panelu motor, aby oszacować zakres pola widzenia.</w:t>
      </w:r>
    </w:p>
    <w:p>
      <w:pPr>
        <w:numPr>
          <w:ilvl w:val="0"/>
          <w:numId w:val="1005"/>
        </w:numPr>
      </w:pPr>
      <w:r>
        <w:t xml:space="preserve">Przejść do zakładki „Capture”</w:t>
      </w:r>
    </w:p>
    <w:p>
      <w:pPr>
        <w:numPr>
          <w:ilvl w:val="0"/>
          <w:numId w:val="1005"/>
        </w:numPr>
      </w:pPr>
      <w:r>
        <w:t xml:space="preserve">Upewnić się, że widoczny jest cały obraz z kamery. Wykres 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 </w:t>
      </w:r>
      <w:r>
        <w:t xml:space="preserve">przesuwać rdzeń do przodu, tak aby pojawiła się poprzeczna miara poprzedzająca strop.</w:t>
      </w:r>
    </w:p>
    <w:p>
      <w:pPr>
        <w:numPr>
          <w:ilvl w:val="0"/>
          <w:numId w:val="1005"/>
        </w:numPr>
      </w:pPr>
      <w:r>
        <w:t xml:space="preserve">Wykonać zrzut ekranu, wkleić na przykład do</w:t>
      </w:r>
      <w:r>
        <w:t xml:space="preserve"> </w:t>
      </w:r>
      <w:r>
        <w:rPr>
          <w:bCs/>
          <w:b/>
        </w:rPr>
        <w:t xml:space="preserve">MS Paint</w:t>
      </w:r>
      <w:r>
        <w:t xml:space="preserve"> </w:t>
      </w:r>
      <w:r>
        <w:t xml:space="preserve">i dokładnie odczytać wartość na miarce, wyrażoną w mm. Należy upewnić się, że wyświetlany obraz to cały obraz rejestrowany przez kamerę. Podgląd ma tendencję do przybliżania środka kadru.</w:t>
      </w:r>
    </w:p>
    <w:p>
      <w:pPr>
        <w:numPr>
          <w:ilvl w:val="0"/>
          <w:numId w:val="1005"/>
        </w:numPr>
      </w:pPr>
      <w:r>
        <w:t xml:space="preserve">Wrócić do zakładki „Adjust”. W panelu</w:t>
      </w:r>
      <w:r>
        <w:t xml:space="preserve"> </w:t>
      </w:r>
      <w:r>
        <w:rPr>
          <w:rStyle w:val="VerbatimChar"/>
        </w:rPr>
        <w:t xml:space="preserve">Scanning speed calculation</w:t>
      </w:r>
      <w:r>
        <w:t xml:space="preserve"> </w:t>
      </w:r>
      <w:r>
        <w:t xml:space="preserve">wybrać opcję</w:t>
      </w:r>
      <w:r>
        <w:t xml:space="preserve"> </w:t>
      </w:r>
      <w:r>
        <w:rPr>
          <w:bCs/>
          <w:b/>
        </w:rPr>
        <w:t xml:space="preserve">Field of view</w:t>
      </w:r>
      <w:r>
        <w:t xml:space="preserve">. Wprowadzić odczytaną wartość FOV wyrażoną w mm.</w:t>
      </w:r>
    </w:p>
    <w:p>
      <w:pPr>
        <w:numPr>
          <w:ilvl w:val="0"/>
          <w:numId w:val="1005"/>
        </w:numPr>
      </w:pPr>
      <w:r>
        <w:t xml:space="preserve">Alternatywnie można wykonać krótki skan i odczytać wartość z wygenerowanego pliku.</w:t>
      </w:r>
    </w:p>
    <w:p>
      <w:pPr>
        <w:numPr>
          <w:ilvl w:val="0"/>
          <w:numId w:val="1000"/>
        </w:numPr>
        <w:pStyle w:val="Heading4"/>
      </w:pPr>
      <w:bookmarkStart w:id="28" w:name="długość-skanowania"/>
      <w:r>
        <w:t xml:space="preserve">Długość skanowania</w:t>
      </w:r>
      <w:bookmarkEnd w:id="28"/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Sensor 1 positions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start</w:t>
      </w:r>
      <w:r>
        <w:t xml:space="preserve">: 250 mm. Wartość stała.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stop</w:t>
      </w:r>
      <w:r>
        <w:t xml:space="preserve">: ≈ długość rdzenia (mm) + 300 mm.</w:t>
      </w:r>
    </w:p>
    <w:bookmarkEnd w:id="29"/>
    <w:bookmarkStart w:id="30" w:name="zakładka-capture"/>
    <w:p>
      <w:pPr>
        <w:pStyle w:val="Heading3"/>
      </w:pPr>
      <w:r>
        <w:t xml:space="preserve">Zakładka „Capture”</w:t>
      </w:r>
    </w:p>
    <w:p>
      <w:pPr>
        <w:numPr>
          <w:ilvl w:val="0"/>
          <w:numId w:val="1007"/>
        </w:numPr>
      </w:pPr>
      <w:r>
        <w:t xml:space="preserve">Upewnić się, czy na dysku jest wolne miejsce.</w:t>
      </w:r>
    </w:p>
    <w:p>
      <w:pPr>
        <w:numPr>
          <w:ilvl w:val="0"/>
          <w:numId w:val="1000"/>
        </w:numPr>
      </w:pPr>
      <w:r>
        <w:t xml:space="preserve">W dolna części okna widoczne jest</w:t>
      </w:r>
      <w:r>
        <w:t xml:space="preserve"> </w:t>
      </w:r>
      <w:r>
        <w:rPr>
          <w:bCs/>
          <w:b/>
        </w:rPr>
        <w:t xml:space="preserve">Free disk space</w:t>
      </w:r>
      <w:r>
        <w:t xml:space="preserve">. Musi mieć wartość minimum 10 minut.</w:t>
      </w:r>
    </w:p>
    <w:p>
      <w:pPr>
        <w:numPr>
          <w:ilvl w:val="0"/>
          <w:numId w:val="1007"/>
        </w:numPr>
      </w:pPr>
      <w:r>
        <w:t xml:space="preserve">Sprawdzić Traffic lights.</w:t>
      </w:r>
    </w:p>
    <w:p>
      <w:pPr>
        <w:numPr>
          <w:ilvl w:val="0"/>
          <w:numId w:val="1000"/>
        </w:numPr>
      </w:pPr>
      <w:r>
        <w:t xml:space="preserve">Wszystko powinno być zielone poza</w:t>
      </w:r>
      <w:r>
        <w:t xml:space="preserve"> </w:t>
      </w:r>
      <w:r>
        <w:rPr>
          <w:bCs/>
          <w:b/>
        </w:rPr>
        <w:t xml:space="preserve">Trigger mode</w:t>
      </w:r>
      <w:r>
        <w:t xml:space="preserve">, które pokazuje się na czerwonym tle jako</w:t>
      </w:r>
      <w:r>
        <w:t xml:space="preserve"> </w:t>
      </w:r>
      <w:r>
        <w:rPr>
          <w:bCs/>
          <w:b/>
        </w:rPr>
        <w:t xml:space="preserve">internal</w:t>
      </w:r>
      <w:r>
        <w:t xml:space="preserve">.</w:t>
      </w:r>
      <w:r>
        <w:t xml:space="preserve"> </w:t>
      </w:r>
      <w:r>
        <w:rPr>
          <w:bCs/>
          <w:b/>
        </w:rPr>
        <w:t xml:space="preserve">Sensor temp</w:t>
      </w:r>
      <w:r>
        <w:t xml:space="preserve"> </w:t>
      </w:r>
      <w:r>
        <w:t xml:space="preserve">(Temperatura kamery), może być wyświetlona na pomarańczowym tle, ale nie należy zostawiać urządzenia włączonego bezczynnie, tak aby się nie przegrzało.</w:t>
      </w:r>
    </w:p>
    <w:p>
      <w:pPr>
        <w:numPr>
          <w:ilvl w:val="0"/>
          <w:numId w:val="1007"/>
        </w:numPr>
      </w:pPr>
      <w:r>
        <w:t xml:space="preserve">Uzupełnić dane w panelu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name</w:t>
      </w:r>
      <w:r>
        <w:t xml:space="preserve">: kod rdzenia</w:t>
      </w:r>
    </w:p>
    <w:p>
      <w:pPr>
        <w:numPr>
          <w:ilvl w:val="1"/>
          <w:numId w:val="1000"/>
        </w:numPr>
      </w:pPr>
      <w:r>
        <w:t xml:space="preserve">Jeśli</w:t>
      </w:r>
      <w:r>
        <w:t xml:space="preserve"> </w:t>
      </w:r>
      <w:r>
        <w:rPr>
          <w:bCs/>
          <w:b/>
        </w:rPr>
        <w:t xml:space="preserve">Dataset prefix</w:t>
      </w:r>
      <w:r>
        <w:t xml:space="preserve"> </w:t>
      </w:r>
      <w:r>
        <w:t xml:space="preserve">to GOR-20, wtedy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to np. 01 dla rdzenia GOR-20/01.</w:t>
      </w:r>
    </w:p>
    <w:p>
      <w:pPr>
        <w:numPr>
          <w:ilvl w:val="1"/>
          <w:numId w:val="1008"/>
        </w:numPr>
      </w:pPr>
      <w:r>
        <w:t xml:space="preserve">Jeśli rdzeń wykracza poza miarę, należy zeskanować go dwukrotnie, od stropu i od spągu.</w:t>
      </w:r>
    </w:p>
    <w:p>
      <w:pPr>
        <w:numPr>
          <w:ilvl w:val="1"/>
          <w:numId w:val="1000"/>
        </w:numPr>
      </w:pPr>
      <w:r>
        <w:t xml:space="preserve">W takim przypadku do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dodać podkreślenie i przyrostek (</w:t>
      </w:r>
      <w:r>
        <w:rPr>
          <w:iCs/>
          <w:i/>
        </w:rPr>
        <w:t xml:space="preserve">sufix</w:t>
      </w:r>
      <w:r>
        <w:t xml:space="preserve">)</w:t>
      </w:r>
      <w:r>
        <w:t xml:space="preserve"> </w:t>
      </w:r>
      <w:r>
        <w:rPr>
          <w:bCs/>
          <w:b/>
        </w:rPr>
        <w:t xml:space="preserve">front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rear</w:t>
      </w:r>
      <w:r>
        <w:t xml:space="preserve"> </w:t>
      </w:r>
      <w:r>
        <w:t xml:space="preserve">(np. 01_front). W ten sposób skanowanie od strony stropu jest zawsze sortowane leksykalnie przed skanowaniem od strony spągu.</w:t>
      </w:r>
    </w:p>
    <w:p>
      <w:pPr>
        <w:numPr>
          <w:ilvl w:val="1"/>
          <w:numId w:val="1008"/>
        </w:numPr>
      </w:pPr>
      <w:r>
        <w:t xml:space="preserve">Właściwy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powinien mieć następującą formę:</w:t>
      </w:r>
    </w:p>
    <w:p>
      <w:pPr>
        <w:numPr>
          <w:ilvl w:val="2"/>
          <w:numId w:val="1009"/>
        </w:numPr>
      </w:pPr>
      <w:r>
        <w:t xml:space="preserve">01 – skanowanie całego rdzenia.</w:t>
      </w:r>
    </w:p>
    <w:p>
      <w:pPr>
        <w:numPr>
          <w:ilvl w:val="2"/>
          <w:numId w:val="1009"/>
        </w:numPr>
      </w:pPr>
      <w:r>
        <w:t xml:space="preserve">01_front – skanowanie rdzenia od stropu.</w:t>
      </w:r>
    </w:p>
    <w:p>
      <w:pPr>
        <w:numPr>
          <w:ilvl w:val="2"/>
          <w:numId w:val="1009"/>
        </w:numPr>
      </w:pPr>
      <w:r>
        <w:t xml:space="preserve">01_rear– skanowanie rdzenia od spągu.</w:t>
      </w:r>
    </w:p>
    <w:p>
      <w:pPr>
        <w:numPr>
          <w:ilvl w:val="0"/>
          <w:numId w:val="1007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: inicjały osoby wykonującej skanowanie.</w:t>
      </w:r>
    </w:p>
    <w:p>
      <w:pPr>
        <w:numPr>
          <w:ilvl w:val="1"/>
          <w:numId w:val="1010"/>
        </w:numPr>
        <w:pStyle w:val="Compact"/>
      </w:pPr>
      <w:r>
        <w:t xml:space="preserve">Dopuszczalne: MZ, JP, MK.</w:t>
      </w:r>
    </w:p>
    <w:p>
      <w:pPr>
        <w:numPr>
          <w:ilvl w:val="0"/>
          <w:numId w:val="1007"/>
        </w:numPr>
      </w:pPr>
      <w:r>
        <w:t xml:space="preserve">Wyłączyć monitor, zgasić światła w pomieszczeniu, zamknąć drzwi i wywiesić kartkę informującą o skanowaniu.</w:t>
      </w:r>
    </w:p>
    <w:p>
      <w:pPr>
        <w:numPr>
          <w:ilvl w:val="0"/>
          <w:numId w:val="1007"/>
        </w:numPr>
      </w:pPr>
      <w:r>
        <w:t xml:space="preserve">Połączyć się z komputerem korzystając ze zdalnego pulpitu.</w:t>
      </w:r>
    </w:p>
    <w:p>
      <w:pPr>
        <w:numPr>
          <w:ilvl w:val="0"/>
          <w:numId w:val="1007"/>
        </w:numPr>
      </w:pPr>
      <w:r>
        <w:t xml:space="preserve">Rozpocząć skanowanie guzikiem</w:t>
      </w:r>
      <w:r>
        <w:t xml:space="preserve"> </w:t>
      </w:r>
      <w:r>
        <w:rPr>
          <w:rStyle w:val="VerbatimChar"/>
        </w:rPr>
        <w:t xml:space="preserve">Record</w:t>
      </w:r>
      <w:r>
        <w:t xml:space="preserve">.</w:t>
      </w:r>
    </w:p>
    <w:bookmarkEnd w:id="30"/>
    <w:bookmarkEnd w:id="31"/>
    <w:bookmarkStart w:id="32" w:name="zakończenie-pracy"/>
    <w:p>
      <w:pPr>
        <w:pStyle w:val="Heading2"/>
      </w:pPr>
      <w:r>
        <w:t xml:space="preserve">Zakończenie pracy</w:t>
      </w:r>
    </w:p>
    <w:p>
      <w:pPr>
        <w:pStyle w:val="FirstParagraph"/>
      </w:pPr>
      <w:r>
        <w:t xml:space="preserve">Jeśli nie została przekroczona pojemność dysku skanowanie powinno zakończyć się bez błędów.</w:t>
      </w:r>
    </w:p>
    <w:p>
      <w:pPr>
        <w:numPr>
          <w:ilvl w:val="0"/>
          <w:numId w:val="1011"/>
        </w:numPr>
      </w:pPr>
      <w:r>
        <w:t xml:space="preserve">Poczekać aż szyna wraz ze rdzeniem wróci na pozycję początkową (komunikat</w:t>
      </w:r>
      <w:r>
        <w:t xml:space="preserve"> </w:t>
      </w:r>
      <w:r>
        <w:rPr>
          <w:iCs/>
          <w:i/>
        </w:rPr>
        <w:t xml:space="preserve">Homing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Nigdy nie przesuwać szyny ręcznie przy włączonym silniku.</w:t>
      </w:r>
    </w:p>
    <w:p>
      <w:pPr>
        <w:numPr>
          <w:ilvl w:val="0"/>
          <w:numId w:val="1011"/>
        </w:numPr>
      </w:pPr>
      <w:r>
        <w:t xml:space="preserve">Wyłączyć kamerę i iluminator z przodu urządzenia.</w:t>
      </w:r>
    </w:p>
    <w:p>
      <w:pPr>
        <w:numPr>
          <w:ilvl w:val="0"/>
          <w:numId w:val="1011"/>
        </w:numPr>
      </w:pPr>
      <w:r>
        <w:t xml:space="preserve">W zakładce „Setup” w użyć przycisków</w:t>
      </w:r>
      <w:r>
        <w:t xml:space="preserve"> </w:t>
      </w:r>
      <w:r>
        <w:rPr>
          <w:rStyle w:val="VerbatimChar"/>
        </w:rPr>
        <w:t xml:space="preserve">Disconnect</w:t>
      </w:r>
      <w:r>
        <w:t xml:space="preserve"> </w:t>
      </w:r>
      <w:r>
        <w:t xml:space="preserve">w polach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 </w:t>
      </w:r>
      <w:r>
        <w:t xml:space="preserve">oraz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Zamknąć oprogramowanie Lumo Scanner.</w:t>
      </w:r>
    </w:p>
    <w:p>
      <w:pPr>
        <w:numPr>
          <w:ilvl w:val="0"/>
          <w:numId w:val="1011"/>
        </w:numPr>
      </w:pPr>
      <w:r>
        <w:t xml:space="preserve">Przenieść zgromadzone dane na serwer Zakładu.</w:t>
      </w:r>
    </w:p>
    <w:p>
      <w:pPr>
        <w:numPr>
          <w:ilvl w:val="0"/>
          <w:numId w:val="1000"/>
        </w:numPr>
      </w:pPr>
      <w:r>
        <w:t xml:space="preserve">Ze względu na duży rozmiar danych można pozostawić proces na noc.</w:t>
      </w:r>
    </w:p>
    <w:p>
      <w:pPr>
        <w:numPr>
          <w:ilvl w:val="0"/>
          <w:numId w:val="1011"/>
        </w:numPr>
      </w:pPr>
      <w:r>
        <w:t xml:space="preserve">Zamknąć system Windows (</w:t>
      </w:r>
      <w:r>
        <w:rPr>
          <w:rStyle w:val="VerbatimChar"/>
        </w:rPr>
        <w:t xml:space="preserve">Windows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Shut down</w:t>
      </w:r>
      <w:r>
        <w:t xml:space="preserve">).</w:t>
      </w:r>
    </w:p>
    <w:p>
      <w:pPr>
        <w:numPr>
          <w:ilvl w:val="0"/>
          <w:numId w:val="1011"/>
        </w:numPr>
      </w:pPr>
      <w:r>
        <w:t xml:space="preserve">Po zamknięciu systemu wyłączyć zasilanie w kolejności od góry do dołu.</w:t>
      </w:r>
    </w:p>
    <w:p>
      <w:pPr>
        <w:numPr>
          <w:ilvl w:val="0"/>
          <w:numId w:val="1011"/>
        </w:numPr>
      </w:pPr>
      <w:r>
        <w:t xml:space="preserve">Wyłączyć zasilacz awaryjny UPS.</w:t>
      </w:r>
    </w:p>
    <w:p>
      <w:pPr>
        <w:numPr>
          <w:ilvl w:val="0"/>
          <w:numId w:val="1011"/>
        </w:numPr>
      </w:pPr>
      <w:r>
        <w:t xml:space="preserve">Schować wzorzec bieli, chwytając tylko za boki.</w:t>
      </w:r>
    </w:p>
    <w:p>
      <w:pPr>
        <w:numPr>
          <w:ilvl w:val="0"/>
          <w:numId w:val="1011"/>
        </w:numPr>
      </w:pPr>
      <w:r>
        <w:t xml:space="preserve">Ostrożnie założyć osłonę obiektywu.</w:t>
      </w:r>
    </w:p>
    <w:p>
      <w:pPr>
        <w:numPr>
          <w:ilvl w:val="0"/>
          <w:numId w:val="1011"/>
        </w:numPr>
      </w:pPr>
      <w:r>
        <w:t xml:space="preserve">Wyczyścić miejsce pracy.</w:t>
      </w:r>
    </w:p>
    <w:bookmarkEnd w:id="32"/>
    <w:bookmarkStart w:id="33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16.11.2022, MZ – wersja inicjalna.</w:t>
      </w:r>
    </w:p>
    <w:p>
      <w:pPr>
        <w:pStyle w:val="BodyText"/>
      </w:pPr>
      <w:r>
        <w:t xml:space="preserve">17.11.2022, MZ – pierwsze poprawki.</w:t>
      </w:r>
    </w:p>
    <w:p>
      <w:pPr>
        <w:pStyle w:val="BodyText"/>
      </w:pPr>
      <w:r>
        <w:t xml:space="preserve">30.11.2022, MZ – kolejne poprawki. Pierwsza wersja Quarto.</w:t>
      </w:r>
    </w:p>
    <w:p>
      <w:pPr>
        <w:pStyle w:val="BodyText"/>
      </w:pPr>
      <w:r>
        <w:t xml:space="preserve">Maurycy Żarczyński 2022-11-30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2022-11-30T23:43:34Z</dcterms:created>
  <dcterms:modified xsi:type="dcterms:W3CDTF">2022-11-30T23:43:34Z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