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cns-procedura-pełna"/>
    <w:p>
      <w:pPr>
        <w:pStyle w:val="Heading1"/>
      </w:pPr>
      <w:r>
        <w:t xml:space="preserve">CNS: Procedura (pełna)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wypełnienie lub całą rurę spalań jeśli to konieczne.</w:t>
      </w:r>
    </w:p>
    <w:p>
      <w:pPr>
        <w:numPr>
          <w:ilvl w:val="0"/>
          <w:numId w:val="1001"/>
        </w:numPr>
      </w:pPr>
      <w:r>
        <w:t xml:space="preserve">Wymienić miedź i wełnę mosiężną lub srebrną w rurze redukcyjnej.</w:t>
      </w:r>
    </w:p>
    <w:p>
      <w:pPr>
        <w:numPr>
          <w:ilvl w:val="0"/>
          <w:numId w:val="1001"/>
        </w:numPr>
      </w:pPr>
      <w:r>
        <w:t xml:space="preserve">Wymienić tygiel popiołów jeśli to konieczne.</w:t>
      </w:r>
    </w:p>
    <w:p>
      <w:pPr>
        <w:numPr>
          <w:ilvl w:val="0"/>
          <w:numId w:val="1001"/>
        </w:numPr>
      </w:pPr>
      <w:r>
        <w:t xml:space="preserve">Sprawdzić lancę tlenową.</w:t>
      </w:r>
    </w:p>
    <w:p>
      <w:pPr>
        <w:numPr>
          <w:ilvl w:val="0"/>
          <w:numId w:val="1000"/>
        </w:numPr>
      </w:pPr>
      <w:r>
        <w:t xml:space="preserve">Musi być widoczny prześwit, lanca nie może być zatkana. Do zatkania może dojść jeśli w tyglu popiołów zgromadzi się zbyt dużo materiału.</w:t>
      </w:r>
    </w:p>
    <w:p>
      <w:pPr>
        <w:numPr>
          <w:ilvl w:val="0"/>
          <w:numId w:val="1001"/>
        </w:numPr>
      </w:pPr>
      <w:r>
        <w:t xml:space="preserve">Sprawdzić połączenia między elementami aparatu.</w:t>
      </w:r>
    </w:p>
    <w:p>
      <w:pPr>
        <w:numPr>
          <w:ilvl w:val="0"/>
          <w:numId w:val="1001"/>
        </w:numPr>
      </w:pPr>
      <w:r>
        <w:t xml:space="preserve">Sprawdzić wszystkie inne niezbędne elementy urządzenia i ich stan.</w:t>
      </w:r>
    </w:p>
    <w:bookmarkEnd w:id="24"/>
    <w:bookmarkStart w:id="29" w:name="standardowe-czynności"/>
    <w:p>
      <w:pPr>
        <w:pStyle w:val="Heading2"/>
      </w:pPr>
      <w:r>
        <w:t xml:space="preserve">Standardowe czynności</w:t>
      </w:r>
    </w:p>
    <w:bookmarkStart w:id="25" w:name="rozruch-urządzenia"/>
    <w:p>
      <w:pPr>
        <w:pStyle w:val="Heading3"/>
      </w:pPr>
      <w:r>
        <w:t xml:space="preserve">Rozruch urządzenia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02"/>
        </w:numPr>
      </w:pPr>
      <w:r>
        <w:t xml:space="preserve">Włączyć oprogramowanie.</w:t>
      </w:r>
    </w:p>
    <w:p>
      <w:pPr>
        <w:numPr>
          <w:ilvl w:val="0"/>
          <w:numId w:val="1002"/>
        </w:numPr>
      </w:pPr>
      <w:r>
        <w:t xml:space="preserve">Busy/Standby – aparatura skomunikowana.</w:t>
      </w:r>
    </w:p>
    <w:p>
      <w:pPr>
        <w:numPr>
          <w:ilvl w:val="0"/>
          <w:numId w:val="1002"/>
        </w:numPr>
      </w:pPr>
      <w:r>
        <w:t xml:space="preserve">Włączyć gazy techniczne.</w:t>
      </w:r>
    </w:p>
    <w:p>
      <w:pPr>
        <w:numPr>
          <w:ilvl w:val="0"/>
          <w:numId w:val="1002"/>
        </w:numPr>
      </w:pPr>
      <w:r>
        <w:t xml:space="preserve">Ustawienie opcji spalania: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1150 °C</w:t>
      </w:r>
      <w:r>
        <w:t xml:space="preserve">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850 °C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Gazy techniczne należy zakręcić jeśli aparatura dopiero się rozgrzewa.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pStyle w:val="FirstParagraph"/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pStyle w:val="BodyText"/>
      </w:pPr>
      <w:r>
        <w:t xml:space="preserve">W czasie rozgrzewania urządzenia gazy techniczne powinny pozostać zakręcone.</w:t>
      </w:r>
    </w:p>
    <w:p>
      <w:pPr>
        <w:numPr>
          <w:ilvl w:val="0"/>
          <w:numId w:val="1004"/>
        </w:numPr>
      </w:pPr>
      <w:r>
        <w:t xml:space="preserve">Ciśnienie robocze gazów: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:</w:t>
      </w:r>
      <w:r>
        <w:t xml:space="preserve"> </w:t>
      </w:r>
      <w:r>
        <w:rPr>
          <w:bCs/>
          <w:b/>
        </w:rPr>
        <w:t xml:space="preserve">2 bar</w:t>
      </w:r>
      <w:r>
        <w:t xml:space="preserve">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He</w:t>
      </w:r>
      <w:r>
        <w:t xml:space="preserve">:</w:t>
      </w:r>
      <w:r>
        <w:t xml:space="preserve"> </w:t>
      </w:r>
      <w:r>
        <w:rPr>
          <w:bCs/>
          <w:b/>
        </w:rPr>
        <w:t xml:space="preserve">1.2 bar</w:t>
      </w:r>
      <w:r>
        <w:t xml:space="preserve"> </w:t>
      </w:r>
      <w:r>
        <w:t xml:space="preserve">(1200 mbar).</w:t>
      </w:r>
    </w:p>
    <w:bookmarkEnd w:id="25"/>
    <w:bookmarkStart w:id="26" w:name="przygotowanie-do-pracy-1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6"/>
        </w:numPr>
      </w:pPr>
      <w:r>
        <w:t xml:space="preserve">W nowym pliku: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1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bez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W ślepej próbie najważniejsze jest pole piku. Pustą kapsułkę zwijamy, należy pozbyć się powietrza.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 próbki stabilizujące (</w:t>
      </w:r>
      <w:r>
        <w:rPr>
          <w:bCs/>
          <w:b/>
        </w:rPr>
        <w:t xml:space="preserve">RunIn</w:t>
      </w:r>
      <w:r>
        <w:t xml:space="preserve">).</w:t>
      </w:r>
    </w:p>
    <w:p>
      <w:pPr>
        <w:numPr>
          <w:ilvl w:val="1"/>
          <w:numId w:val="1000"/>
        </w:numPr>
      </w:pPr>
      <w:r>
        <w:t xml:space="preserve">Próbki powinny być możliwie blisko spodziewanego zakresu analitycznego.</w:t>
      </w:r>
    </w:p>
    <w:p>
      <w:pPr>
        <w:numPr>
          <w:ilvl w:val="1"/>
          <w:numId w:val="1007"/>
        </w:numPr>
      </w:pPr>
      <w:r>
        <w:t xml:space="preserve">2–3 × wzorzec jako</w:t>
      </w:r>
      <w:r>
        <w:t xml:space="preserve"> </w:t>
      </w:r>
      <w:r>
        <w:rPr>
          <w:bCs/>
          <w:b/>
        </w:rPr>
        <w:t xml:space="preserve">day factor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Wybór metody</w:t>
      </w:r>
      <w:r>
        <w:t xml:space="preserve"> </w:t>
      </w:r>
      <w:r>
        <w:rPr>
          <w:bCs/>
          <w:b/>
        </w:rPr>
        <w:t xml:space="preserve">dozowania 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2 mg 70 s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2 mg 80 s.</w:t>
      </w:r>
    </w:p>
    <w:p>
      <w:pPr>
        <w:numPr>
          <w:ilvl w:val="1"/>
          <w:numId w:val="1008"/>
        </w:numPr>
      </w:pPr>
      <w:r>
        <w:t xml:space="preserve">5 mg 90 s.</w:t>
      </w:r>
    </w:p>
    <w:p>
      <w:pPr>
        <w:numPr>
          <w:ilvl w:val="1"/>
          <w:numId w:val="1008"/>
        </w:numPr>
      </w:pPr>
      <w:r>
        <w:t xml:space="preserve">10 mg 120 s.</w:t>
      </w:r>
    </w:p>
    <w:p>
      <w:pPr>
        <w:pStyle w:val="FirstParagraph"/>
      </w:pPr>
      <w:r>
        <w:t xml:space="preserve">Należy wykorzystywać metodą skutkującą najniższym dozowaniem prowadzącym do pełnego spalenia próbki.</w:t>
      </w:r>
      <w:r>
        <w:br/>
      </w:r>
      <w:r>
        <w:t xml:space="preserve">Im wyższa naważka, lub spodziewana zawartość węgla tym dłuższe dozowanie tlenu niezbędne do całkowitego spalenia próbki.</w:t>
      </w:r>
    </w:p>
    <w:p>
      <w:pPr>
        <w:numPr>
          <w:ilvl w:val="0"/>
          <w:numId w:val="1009"/>
        </w:numPr>
      </w:pPr>
      <w:r>
        <w:t xml:space="preserve">Można załadować maksymalnie</w:t>
      </w:r>
      <w:r>
        <w:t xml:space="preserve"> </w:t>
      </w:r>
      <w:r>
        <w:rPr>
          <w:bCs/>
          <w:b/>
        </w:rPr>
        <w:t xml:space="preserve">79</w:t>
      </w:r>
      <w:r>
        <w:t xml:space="preserve"> </w:t>
      </w:r>
      <w:r>
        <w:t xml:space="preserve">próbek na początku.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80</w:t>
      </w:r>
      <w:r>
        <w:t xml:space="preserve">. i kolejne można dołożyć w trakcie, analizator będzie je doliczał. Należy mieć na uwadze maksymalne wypełnienie tygla popiołów.</w:t>
      </w:r>
    </w:p>
    <w:bookmarkEnd w:id="26"/>
    <w:bookmarkStart w:id="27" w:name="pomiar"/>
    <w:p>
      <w:pPr>
        <w:pStyle w:val="Heading3"/>
      </w:pPr>
      <w:r>
        <w:t xml:space="preserve">Pomiar</w:t>
      </w:r>
    </w:p>
    <w:p>
      <w:pPr>
        <w:pStyle w:val="FirstParagraph"/>
      </w:pPr>
      <w:r>
        <w:t xml:space="preserve">Można użyć wartości</w:t>
      </w:r>
      <w:r>
        <w:t xml:space="preserve"> </w:t>
      </w:r>
      <w:r>
        <w:rPr>
          <w:bCs/>
          <w:b/>
        </w:rPr>
        <w:t xml:space="preserve">blank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day factor</w:t>
      </w:r>
      <w:r>
        <w:t xml:space="preserve"> </w:t>
      </w:r>
      <w:r>
        <w:t xml:space="preserve">do korekty wyników.</w:t>
      </w:r>
    </w:p>
    <w:bookmarkEnd w:id="27"/>
    <w:bookmarkStart w:id="28" w:name="wyłączenie"/>
    <w:p>
      <w:pPr>
        <w:pStyle w:val="Heading3"/>
      </w:pPr>
      <w:r>
        <w:t xml:space="preserve">Wyłączenie</w:t>
      </w:r>
    </w:p>
    <w:p>
      <w:pPr>
        <w:numPr>
          <w:ilvl w:val="0"/>
          <w:numId w:val="1010"/>
        </w:numPr>
      </w:pPr>
      <w:r>
        <w:t xml:space="preserve">Wystudzenie urządzenia: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Zakręcić gazy techniczne, przekręcić zawory do oporu.</w:t>
      </w:r>
    </w:p>
    <w:p>
      <w:pPr>
        <w:numPr>
          <w:ilvl w:val="0"/>
          <w:numId w:val="1010"/>
        </w:numPr>
      </w:pPr>
      <w:r>
        <w:t xml:space="preserve">Wyłączenie aparatury poniżej</w:t>
      </w:r>
      <w:r>
        <w:t xml:space="preserve"> </w:t>
      </w:r>
      <w:r>
        <w:rPr>
          <w:bCs/>
          <w:b/>
        </w:rPr>
        <w:t xml:space="preserve">150 °C</w:t>
      </w:r>
    </w:p>
    <w:p>
      <w:pPr>
        <w:numPr>
          <w:ilvl w:val="0"/>
          <w:numId w:val="1000"/>
        </w:numPr>
      </w:pPr>
      <w:r>
        <w:t xml:space="preserve">Ostudzenie do tej temperatury zajmuje około</w:t>
      </w:r>
      <w:r>
        <w:t xml:space="preserve"> </w:t>
      </w:r>
      <w:r>
        <w:rPr>
          <w:bCs/>
          <w:b/>
        </w:rPr>
        <w:t xml:space="preserve">3 godziny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Wyłączyć oprogramowanie.</w:t>
      </w:r>
    </w:p>
    <w:p>
      <w:pPr>
        <w:numPr>
          <w:ilvl w:val="0"/>
          <w:numId w:val="1010"/>
        </w:numPr>
      </w:pPr>
      <w:r>
        <w:t xml:space="preserve">Wyłączyć Vario El Cube zielonym guzikiem z prawej strony urządzenia.</w:t>
      </w:r>
    </w:p>
    <w:bookmarkEnd w:id="28"/>
    <w:bookmarkEnd w:id="29"/>
    <w:bookmarkStart w:id="31" w:name="diagnostyka-urządzenia"/>
    <w:p>
      <w:pPr>
        <w:pStyle w:val="Heading2"/>
      </w:pPr>
      <w:r>
        <w:t xml:space="preserve">Diagnostyka urządzenia</w:t>
      </w:r>
    </w:p>
    <w:bookmarkStart w:id="30" w:name="test-szczelności"/>
    <w:p>
      <w:pPr>
        <w:pStyle w:val="Heading3"/>
      </w:pPr>
      <w:r>
        <w:t xml:space="preserve">Test szczelności</w:t>
      </w:r>
    </w:p>
    <w:p>
      <w:pPr>
        <w:numPr>
          <w:ilvl w:val="0"/>
          <w:numId w:val="1012"/>
        </w:numPr>
      </w:pPr>
      <w:r>
        <w:t xml:space="preserve">Urządzenie</w:t>
      </w:r>
      <w:r>
        <w:t xml:space="preserve"> </w:t>
      </w:r>
      <w:r>
        <w:rPr>
          <w:bCs/>
          <w:b/>
        </w:rPr>
        <w:t xml:space="preserve">musi</w:t>
      </w:r>
      <w:r>
        <w:t xml:space="preserve"> </w:t>
      </w:r>
      <w:r>
        <w:t xml:space="preserve">być rozgrzane lub wystudzone.</w:t>
      </w:r>
    </w:p>
    <w:p>
      <w:pPr>
        <w:numPr>
          <w:ilvl w:val="0"/>
          <w:numId w:val="1000"/>
        </w:numPr>
      </w:pPr>
      <w:r>
        <w:t xml:space="preserve">Nie pracować w trakcie grzania lub schładzania. Stała temperatura. Preferowane prowadzenie testów na zimnym urządzeniu.</w:t>
      </w:r>
    </w:p>
    <w:p>
      <w:pPr>
        <w:numPr>
          <w:ilvl w:val="0"/>
          <w:numId w:val="101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1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12"/>
        </w:numPr>
      </w:pPr>
      <w:r>
        <w:t xml:space="preserve">Przy dużej nieszczelności lub zatkaniu układu widać zakłócenia przypływu.</w:t>
      </w:r>
    </w:p>
    <w:p>
      <w:pPr>
        <w:numPr>
          <w:ilvl w:val="0"/>
          <w:numId w:val="1000"/>
        </w:numPr>
      </w:pPr>
      <w:r>
        <w:t xml:space="preserve">Wykonywanie testów szczelności wymaga schłodzenia kolumn.</w:t>
      </w:r>
    </w:p>
    <w:p>
      <w:pPr>
        <w:numPr>
          <w:ilvl w:val="0"/>
          <w:numId w:val="1012"/>
        </w:numPr>
      </w:pPr>
      <w:r>
        <w:t xml:space="preserve">Nieszczelność układu:</w:t>
      </w:r>
    </w:p>
    <w:p>
      <w:pPr>
        <w:numPr>
          <w:ilvl w:val="1"/>
          <w:numId w:val="1013"/>
        </w:numPr>
      </w:pPr>
      <w:r>
        <w:t xml:space="preserve">TCD flow bardzo niski.</w:t>
      </w:r>
    </w:p>
    <w:p>
      <w:pPr>
        <w:numPr>
          <w:ilvl w:val="1"/>
          <w:numId w:val="1013"/>
        </w:numPr>
      </w:pPr>
      <w:r>
        <w:t xml:space="preserve">He flow bardzo wysoki.</w:t>
      </w:r>
    </w:p>
    <w:p>
      <w:pPr>
        <w:numPr>
          <w:ilvl w:val="1"/>
          <w:numId w:val="1013"/>
        </w:numPr>
      </w:pPr>
      <w:r>
        <w:t xml:space="preserve">Ciśnienie spada.</w:t>
      </w:r>
    </w:p>
    <w:p>
      <w:pPr>
        <w:numPr>
          <w:ilvl w:val="0"/>
          <w:numId w:val="1012"/>
        </w:numPr>
      </w:pPr>
      <w:r>
        <w:t xml:space="preserve">Zatkanie układu:</w:t>
      </w:r>
    </w:p>
    <w:p>
      <w:pPr>
        <w:numPr>
          <w:ilvl w:val="1"/>
          <w:numId w:val="1014"/>
        </w:numPr>
      </w:pPr>
      <w:r>
        <w:t xml:space="preserve">Oba przepływy niskie.</w:t>
      </w:r>
    </w:p>
    <w:p>
      <w:pPr>
        <w:numPr>
          <w:ilvl w:val="1"/>
          <w:numId w:val="1014"/>
        </w:numPr>
      </w:pPr>
      <w:r>
        <w:t xml:space="preserve">Ciśnienie wysokie.</w:t>
      </w:r>
    </w:p>
    <w:p>
      <w:pPr>
        <w:numPr>
          <w:ilvl w:val="0"/>
          <w:numId w:val="1012"/>
        </w:numPr>
      </w:pPr>
      <w:r>
        <w:t xml:space="preserve">Wykonywanie ogólnego testu szczelności (</w:t>
      </w:r>
      <w:r>
        <w:rPr>
          <w:iCs/>
          <w:i/>
        </w:rPr>
        <w:t xml:space="preserve">raw leak test</w:t>
      </w:r>
      <w:r>
        <w:t xml:space="preserve">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Diagnostic - Raw leak test &gt; Ok.</w:t>
      </w:r>
    </w:p>
    <w:p>
      <w:pPr>
        <w:numPr>
          <w:ilvl w:val="0"/>
          <w:numId w:val="1012"/>
        </w:numPr>
      </w:pPr>
      <w:r>
        <w:t xml:space="preserve">Oprogramowanie pokazuje schemat urządzenia oraz informuje co zrobić oraz z jakich elementów zestawu testowego skorzystać. Zakręcić zawór tlenu.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Start.</w:t>
      </w:r>
      <w:r>
        <w:br/>
      </w:r>
      <w:r>
        <w:t xml:space="preserve">Przebieg testów i informacje o aktualnym ciśnieniu.</w:t>
      </w:r>
      <w:r>
        <w:br/>
      </w:r>
      <w:r>
        <w:t xml:space="preserve">Po zakończeniu można odkręcić gazy techniczne.</w:t>
      </w:r>
    </w:p>
    <w:p>
      <w:pPr>
        <w:numPr>
          <w:ilvl w:val="0"/>
          <w:numId w:val="1012"/>
        </w:numPr>
      </w:pPr>
      <w:r>
        <w:t xml:space="preserve">Wykonanie szczegółowych testów szczelności (</w:t>
      </w:r>
      <w:r>
        <w:rPr>
          <w:iCs/>
          <w:i/>
        </w:rPr>
        <w:t xml:space="preserve">fine leak test</w:t>
      </w:r>
      <w:r>
        <w:t xml:space="preserve">):</w:t>
      </w:r>
    </w:p>
    <w:p>
      <w:pPr>
        <w:numPr>
          <w:ilvl w:val="0"/>
          <w:numId w:val="1000"/>
        </w:numPr>
      </w:pPr>
      <w:r>
        <w:t xml:space="preserve">0 (zerowy) jest tożsamy z</w:t>
      </w:r>
      <w:r>
        <w:t xml:space="preserve"> </w:t>
      </w:r>
      <w:r>
        <w:rPr>
          <w:iCs/>
          <w:i/>
        </w:rPr>
        <w:t xml:space="preserve">Raw leak tes</w:t>
      </w:r>
      <w:r>
        <w:t xml:space="preserve">t.</w:t>
      </w:r>
    </w:p>
    <w:p>
      <w:pPr>
        <w:numPr>
          <w:ilvl w:val="0"/>
          <w:numId w:val="1012"/>
        </w:numPr>
      </w:pPr>
      <w:r>
        <w:t xml:space="preserve">Day factor.</w:t>
      </w:r>
    </w:p>
    <w:p>
      <w:pPr>
        <w:numPr>
          <w:ilvl w:val="0"/>
          <w:numId w:val="1000"/>
        </w:numPr>
      </w:pPr>
      <w:r>
        <w:t xml:space="preserve">Mierzenie wzorca każdego dnia analiz. Stosunek pomiaru do teorii. Day factor informuje o korekcie względem faktycznego pomiaru a oczekiwanej wartości.</w:t>
      </w:r>
    </w:p>
    <w:bookmarkEnd w:id="30"/>
    <w:bookmarkEnd w:id="31"/>
    <w:bookmarkStart w:id="32" w:name="inne"/>
    <w:p>
      <w:pPr>
        <w:pStyle w:val="Heading2"/>
      </w:pPr>
      <w:r>
        <w:t xml:space="preserve">Inne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Świeżo</w:t>
      </w:r>
      <w:r>
        <w:t xml:space="preserve"> </w:t>
      </w:r>
      <w:r>
        <w:t xml:space="preserve">zasypane kolumny będą skutkować</w:t>
      </w:r>
      <w:r>
        <w:t xml:space="preserve"> </w:t>
      </w:r>
      <w:r>
        <w:rPr>
          <w:bCs/>
          <w:b/>
        </w:rPr>
        <w:t xml:space="preserve">wzrostem wartości ślepych</w:t>
      </w:r>
      <w:r>
        <w:t xml:space="preserve"> </w:t>
      </w:r>
      <w:r>
        <w:t xml:space="preserve">przy pierwszych próbkach – musi się przepalić (</w:t>
      </w:r>
      <w:r>
        <w:rPr>
          <w:bCs/>
          <w:b/>
        </w:rPr>
        <w:t xml:space="preserve">3–4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</w:t>
      </w:r>
      <w:r>
        <w:t xml:space="preserve">).</w:t>
      </w:r>
    </w:p>
    <w:p>
      <w:pPr>
        <w:numPr>
          <w:ilvl w:val="0"/>
          <w:numId w:val="1015"/>
        </w:numPr>
      </w:pPr>
      <w:r>
        <w:t xml:space="preserve">Dla próbek</w:t>
      </w:r>
      <w:r>
        <w:t xml:space="preserve"> </w:t>
      </w:r>
      <w:r>
        <w:rPr>
          <w:bCs/>
          <w:b/>
        </w:rPr>
        <w:t xml:space="preserve">ślepych</w:t>
      </w:r>
      <w:r>
        <w:t xml:space="preserve"> </w:t>
      </w:r>
      <w:r>
        <w:t xml:space="preserve">wprowadzamy</w:t>
      </w:r>
      <w:r>
        <w:t xml:space="preserve"> </w:t>
      </w:r>
      <w:r>
        <w:rPr>
          <w:bCs/>
          <w:b/>
        </w:rPr>
        <w:t xml:space="preserve">1.000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Method</w:t>
      </w:r>
      <w:r>
        <w:t xml:space="preserve"> </w:t>
      </w:r>
      <w:r>
        <w:t xml:space="preserve">(parametry dozowania tlenu):</w:t>
      </w:r>
    </w:p>
    <w:p>
      <w:pPr>
        <w:numPr>
          <w:ilvl w:val="0"/>
          <w:numId w:val="1000"/>
        </w:numPr>
      </w:pPr>
      <w:r>
        <w:t xml:space="preserve">Zdefiniowane.</w:t>
      </w:r>
      <w:r>
        <w:t xml:space="preserve"> </w:t>
      </w:r>
      <w:r>
        <w:rPr>
          <w:rStyle w:val="VerbatimChar"/>
        </w:rPr>
        <w:t xml:space="preserve">Options &gt; Settings &gt; Methods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Próbki ślepe (</w:t>
      </w:r>
      <w:r>
        <w:rPr>
          <w:bCs/>
          <w:b/>
        </w:rPr>
        <w:t xml:space="preserve">Blnk</w:t>
      </w:r>
      <w:r>
        <w:t xml:space="preserve">):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 O</w:t>
      </w:r>
      <w:r>
        <w:rPr>
          <w:vertAlign w:val="subscript"/>
          <w:bCs/>
          <w:b/>
        </w:rPr>
        <w:t xml:space="preserve">2</w:t>
      </w:r>
      <w:r>
        <w:t xml:space="preserve">: próbka spalana z tlenem.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Without O</w:t>
      </w:r>
      <w:r>
        <w:rPr>
          <w:vertAlign w:val="subscript"/>
          <w:bCs/>
          <w:b/>
        </w:rPr>
        <w:t xml:space="preserve">2</w:t>
      </w:r>
      <w:r>
        <w:t xml:space="preserve">: próbka spalana bez tlenu.</w:t>
      </w:r>
    </w:p>
    <w:p>
      <w:pPr>
        <w:numPr>
          <w:ilvl w:val="0"/>
          <w:numId w:val="1000"/>
        </w:numPr>
      </w:pPr>
      <w:r>
        <w:t xml:space="preserve">W większości przypadków stosujemy</w:t>
      </w:r>
      <w:r>
        <w:t xml:space="preserve"> </w:t>
      </w:r>
      <w:r>
        <w:rPr>
          <w:bCs/>
          <w:b/>
        </w:rPr>
        <w:t xml:space="preserve">próbki ślepe bez tlenu</w:t>
      </w:r>
      <w:r>
        <w:t xml:space="preserve">. Ale na świeżych zasypach i po zmianach w urządzeniu należy wykonać</w:t>
      </w:r>
      <w:r>
        <w:t xml:space="preserve"> </w:t>
      </w:r>
      <w:r>
        <w:rPr>
          <w:bCs/>
          <w:b/>
        </w:rPr>
        <w:t xml:space="preserve">1–2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Blnk z tlenem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Wybór metody dozowania tlenu:</w:t>
      </w:r>
    </w:p>
    <w:p>
      <w:pPr>
        <w:numPr>
          <w:ilvl w:val="0"/>
          <w:numId w:val="1000"/>
        </w:numPr>
      </w:pPr>
      <w:r>
        <w:t xml:space="preserve">Bierzemy próbkę i kilka podobnych naważek z innymi czasami dozowania O</w:t>
      </w:r>
      <w:r>
        <w:rPr>
          <w:vertAlign w:val="subscript"/>
        </w:rPr>
        <w:t xml:space="preserve">2</w:t>
      </w:r>
      <w:r>
        <w:t xml:space="preserve"> </w:t>
      </w:r>
      <w:r>
        <w:t xml:space="preserve">(im mniej tym lepiej). Dopracowujemy dla pewnego rodzaju osadu w wybranych warunkach.</w:t>
      </w:r>
    </w:p>
    <w:p>
      <w:pPr>
        <w:numPr>
          <w:ilvl w:val="0"/>
          <w:numId w:val="1015"/>
        </w:numPr>
      </w:pPr>
      <w:r>
        <w:t xml:space="preserve">Wstawienie wiersza w arkuszu:</w:t>
      </w:r>
      <w:r>
        <w:t xml:space="preserve"> </w:t>
      </w:r>
      <w:r>
        <w:rPr>
          <w:rStyle w:val="VerbatimChar"/>
        </w:rPr>
        <w:t xml:space="preserve">Insert line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Zamiana próbek w arkuszu:</w:t>
      </w:r>
      <w:r>
        <w:t xml:space="preserve"> </w:t>
      </w:r>
      <w:r>
        <w:rPr>
          <w:rStyle w:val="VerbatimChar"/>
        </w:rPr>
        <w:t xml:space="preserve">Swap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Wstawienie znacznika stop w wybranym miejscu:</w:t>
      </w:r>
      <w:r>
        <w:t xml:space="preserve"> </w:t>
      </w:r>
      <w:r>
        <w:rPr>
          <w:rStyle w:val="VerbatimChar"/>
        </w:rPr>
        <w:t xml:space="preserve">Stop tag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Zaznaczenie aktualnie analizowanej próbki: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Zielone cieniowanie wiersza.</w:t>
      </w:r>
    </w:p>
    <w:p>
      <w:pPr>
        <w:numPr>
          <w:ilvl w:val="0"/>
          <w:numId w:val="1015"/>
        </w:numPr>
      </w:pPr>
      <w:r>
        <w:t xml:space="preserve">Zaznaczenie wiersza, do którego zostanie wpisana waga próbki:</w:t>
      </w:r>
      <w:r>
        <w:t xml:space="preserve"> </w:t>
      </w:r>
      <w:r>
        <w:rPr>
          <w:rStyle w:val="VerbatimChar"/>
        </w:rPr>
        <w:t xml:space="preserve">Current weight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Żółte cieniowanie wiersza.</w:t>
      </w:r>
    </w:p>
    <w:p>
      <w:pPr>
        <w:numPr>
          <w:ilvl w:val="0"/>
          <w:numId w:val="1015"/>
        </w:numPr>
      </w:pPr>
      <w:r>
        <w:t xml:space="preserve">Zatrzymanie analizy przed jej końcem: zielony pasek nie przeskoczy.</w:t>
      </w:r>
    </w:p>
    <w:p>
      <w:pPr>
        <w:numPr>
          <w:ilvl w:val="0"/>
          <w:numId w:val="1000"/>
        </w:numPr>
      </w:pPr>
      <w:r>
        <w:t xml:space="preserve">Autosampler czeka gotowy do następnej próbki ale trzeba przestawić</w:t>
      </w:r>
      <w:r>
        <w:t xml:space="preserve"> </w:t>
      </w:r>
      <w:r>
        <w:rPr>
          <w:bCs/>
          <w:b/>
        </w:rPr>
        <w:t xml:space="preserve">current sample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jedno</w:t>
      </w:r>
      <w:r>
        <w:t xml:space="preserve"> </w:t>
      </w:r>
      <w:r>
        <w:t xml:space="preserve">miejsce.</w:t>
      </w:r>
    </w:p>
    <w:p>
      <w:pPr>
        <w:numPr>
          <w:ilvl w:val="0"/>
          <w:numId w:val="1015"/>
        </w:numPr>
      </w:pPr>
      <w:r>
        <w:t xml:space="preserve">Przesunięcie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System – carousel position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Konieczne jest usunięcie wszystkich próbek.</w:t>
      </w:r>
    </w:p>
    <w:p>
      <w:pPr>
        <w:numPr>
          <w:ilvl w:val="0"/>
          <w:numId w:val="1015"/>
        </w:numPr>
      </w:pPr>
      <w:r>
        <w:t xml:space="preserve">Jeśli chcemy przeanalizować próbkę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trzeba zadać pozycję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rPr>
          <w:bCs/>
          <w:b/>
        </w:rPr>
        <w:t xml:space="preserve">N-1</w:t>
      </w:r>
      <w:r>
        <w:t xml:space="preserve"> </w:t>
      </w:r>
      <w:r>
        <w:t xml:space="preserve">(jedną wstecz).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 </w:t>
      </w:r>
      <w:r>
        <w:t xml:space="preserve">jako N.</w:t>
      </w:r>
    </w:p>
    <w:p>
      <w:pPr>
        <w:numPr>
          <w:ilvl w:val="0"/>
          <w:numId w:val="1015"/>
        </w:numPr>
      </w:pPr>
      <w:r>
        <w:t xml:space="preserve">Zmiana trybu pracy:</w:t>
      </w:r>
      <w:r>
        <w:t xml:space="preserve"> </w:t>
      </w:r>
      <w:r>
        <w:rPr>
          <w:rStyle w:val="VerbatimChar"/>
        </w:rPr>
        <w:t xml:space="preserve">Mode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Zmiana stylu standardów: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Po otwarciu gazów pozwolić urządzeniu na kilka minut swobodnej pracy</w:t>
      </w:r>
    </w:p>
    <w:p>
      <w:pPr>
        <w:numPr>
          <w:ilvl w:val="0"/>
          <w:numId w:val="1000"/>
        </w:numPr>
      </w:pPr>
      <w:r>
        <w:t xml:space="preserve">Przedmuchanie układu.</w:t>
      </w:r>
    </w:p>
    <w:p>
      <w:pPr>
        <w:numPr>
          <w:ilvl w:val="0"/>
          <w:numId w:val="1015"/>
        </w:numPr>
      </w:pPr>
      <w:r>
        <w:t xml:space="preserve">Tryby analizy: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</w:t>
      </w:r>
      <w:r>
        <w:t xml:space="preserve">: pracuje próbka po próbce do</w:t>
      </w:r>
      <w:r>
        <w:t xml:space="preserve"> </w:t>
      </w:r>
      <w:r>
        <w:rPr>
          <w:bCs/>
          <w:b/>
        </w:rPr>
        <w:t xml:space="preserve">ostatniej próbki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stop tag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Zależnie od ustawień, po zakończeniu analizy może nastąpić uśpienie urządzenia.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Single</w:t>
      </w:r>
      <w:r>
        <w:t xml:space="preserve">: pracuje w trybie pojedynczej próbki. Czeka po każdej próbce w trybie</w:t>
      </w:r>
      <w:r>
        <w:t xml:space="preserve"> </w:t>
      </w:r>
      <w:r>
        <w:rPr>
          <w:iCs/>
          <w:i/>
        </w:rPr>
        <w:t xml:space="preserve">standby</w:t>
      </w:r>
      <w:r>
        <w:t xml:space="preserve"> </w:t>
      </w:r>
      <w:r>
        <w:t xml:space="preserve">(oczekiwanie).</w:t>
      </w:r>
    </w:p>
    <w:p>
      <w:pPr>
        <w:numPr>
          <w:ilvl w:val="0"/>
          <w:numId w:val="1015"/>
        </w:numPr>
      </w:pPr>
      <w:r>
        <w:t xml:space="preserve">Usypianie urządzenia:</w:t>
      </w:r>
      <w:r>
        <w:t xml:space="preserve"> </w:t>
      </w:r>
      <w:r>
        <w:rPr>
          <w:rStyle w:val="VerbatimChar"/>
        </w:rPr>
        <w:t xml:space="preserve">Sleep (ikonka księżyca).</w:t>
      </w:r>
    </w:p>
    <w:p>
      <w:pPr>
        <w:numPr>
          <w:ilvl w:val="0"/>
          <w:numId w:val="1000"/>
        </w:numPr>
      </w:pPr>
      <w:r>
        <w:t xml:space="preserve">Urządzenie zrealizuje zadane warunki.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Sleep/Wake Up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900 °C</w:t>
      </w:r>
      <w:r>
        <w:t xml:space="preserve">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700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Przy krótkiej przerwie w pracy nie należy schładzać rur.</w:t>
      </w:r>
    </w:p>
    <w:p>
      <w:pPr>
        <w:numPr>
          <w:ilvl w:val="0"/>
          <w:numId w:val="1015"/>
        </w:numPr>
      </w:pPr>
      <w:r>
        <w:t xml:space="preserve">Urządzenie najlepiej</w:t>
      </w:r>
      <w:r>
        <w:t xml:space="preserve"> </w:t>
      </w:r>
      <w:r>
        <w:rPr>
          <w:bCs/>
          <w:b/>
        </w:rPr>
        <w:t xml:space="preserve">wybudzać ręczni</w:t>
      </w:r>
      <w:r>
        <w:t xml:space="preserve">e, tak aby nie pozostawiać go bez nadzoru.</w:t>
      </w:r>
    </w:p>
    <w:p>
      <w:pPr>
        <w:numPr>
          <w:ilvl w:val="0"/>
          <w:numId w:val="1015"/>
        </w:numPr>
      </w:pPr>
      <w:r>
        <w:t xml:space="preserve">Interwały zużycia elementów: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Wymiana elementów:</w:t>
      </w:r>
      <w:r>
        <w:t xml:space="preserve"> </w:t>
      </w:r>
      <w:r>
        <w:rPr>
          <w:rStyle w:val="VerbatimChar"/>
        </w:rPr>
        <w:t xml:space="preserve">Replace part</w:t>
      </w:r>
      <w:r>
        <w:t xml:space="preserve">; przy otwarciu układu gazowego.</w:t>
      </w:r>
    </w:p>
    <w:p>
      <w:pPr>
        <w:numPr>
          <w:ilvl w:val="0"/>
          <w:numId w:val="1000"/>
        </w:numPr>
      </w:pPr>
      <w:r>
        <w:t xml:space="preserve">Odcina dostęp gazu do urządzenia. Czekać aż ciśnienie spadnie.</w:t>
      </w:r>
    </w:p>
    <w:p>
      <w:pPr>
        <w:numPr>
          <w:ilvl w:val="1"/>
          <w:numId w:val="1019"/>
        </w:numPr>
      </w:pPr>
      <w:r>
        <w:t xml:space="preserve">Po zamknięciu układu: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Finished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zaworu kulowego</w:t>
      </w:r>
      <w:r>
        <w:t xml:space="preserve">:</w:t>
      </w:r>
      <w:r>
        <w:t xml:space="preserve"> </w:t>
      </w:r>
      <w:r>
        <w:rPr>
          <w:rStyle w:val="VerbatimChar"/>
        </w:rPr>
        <w:t xml:space="preserve">Adjust ball valve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Adjust carousell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Wygrzewanie</w:t>
      </w:r>
      <w:r>
        <w:t xml:space="preserve"> </w:t>
      </w:r>
      <w:r>
        <w:rPr>
          <w:bCs/>
          <w:b/>
        </w:rPr>
        <w:t xml:space="preserve">kolumn</w:t>
      </w:r>
      <w:r>
        <w:t xml:space="preserve"> </w:t>
      </w:r>
      <w:r>
        <w:t xml:space="preserve">adsorpcyjnych</w:t>
      </w:r>
      <w:r>
        <w:t xml:space="preserve"> </w:t>
      </w:r>
      <w:r>
        <w:rPr>
          <w:bCs/>
          <w:b/>
        </w:rPr>
        <w:t xml:space="preserve">CO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Po wymianie kolumny.</w:t>
      </w:r>
    </w:p>
    <w:p>
      <w:pPr>
        <w:numPr>
          <w:ilvl w:val="1"/>
          <w:numId w:val="1020"/>
        </w:numPr>
      </w:pPr>
      <w:r>
        <w:t xml:space="preserve">Przy podejrzeniu zanieczyszczenia.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Colum heatout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Czynność zajmuje około 30 minut.</w:t>
      </w:r>
    </w:p>
    <w:p>
      <w:pPr>
        <w:numPr>
          <w:ilvl w:val="0"/>
          <w:numId w:val="1015"/>
        </w:numPr>
      </w:pPr>
      <w:r>
        <w:t xml:space="preserve">Sterowanie indywidualnymi elementami urządzenia:</w:t>
      </w:r>
      <w:r>
        <w:t xml:space="preserve"> </w:t>
      </w:r>
      <w:r>
        <w:rPr>
          <w:rStyle w:val="VerbatimChar"/>
        </w:rPr>
        <w:t xml:space="preserve">System test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Dziennik i wyjaśnienie błędów:</w:t>
      </w:r>
      <w:r>
        <w:t xml:space="preserve"> </w:t>
      </w:r>
      <w:r>
        <w:rPr>
          <w:rStyle w:val="VerbatimChar"/>
        </w:rPr>
        <w:t xml:space="preserve">Error buffer</w:t>
      </w:r>
      <w:r>
        <w:t xml:space="preserve">.</w:t>
      </w:r>
      <w:p>
        <w:r>
          <w:br w:type="page"/>
        </w:r>
      </w:p>
    </w:p>
    <w:bookmarkEnd w:id="32"/>
    <w:bookmarkStart w:id="33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04.12.2022, MZ – wersja inicjalna Quarto. Rozwinięcie treści.</w:t>
      </w:r>
    </w:p>
    <w:p>
      <w:pPr>
        <w:pStyle w:val="BodyText"/>
      </w:pPr>
      <w:r>
        <w:t xml:space="preserve">Maurycy Żarczyński 2022-12-06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2022-12-06T19:06:12Z</dcterms:created>
  <dcterms:modified xsi:type="dcterms:W3CDTF">2022-12-06T19:06:12Z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