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3" w:name="X45b85c7ab3efdde08bce8f50299f55804ca2c1c"/>
    <w:p>
      <w:pPr>
        <w:pStyle w:val="Heading1"/>
      </w:pPr>
      <w:r>
        <w:t xml:space="preserve">Analiza TIC: całkowity węgiel nieorganiczny (</w:t>
      </w:r>
      <w:r>
        <w:rPr>
          <w:iCs/>
          <w:i/>
        </w:rPr>
        <w:t xml:space="preserve">total inorganic carbon</w:t>
      </w:r>
      <w:r>
        <w:t xml:space="preserve">)</w:t>
      </w:r>
    </w:p>
    <w:bookmarkStart w:id="31" w:name="dzień-pierwszy"/>
    <w:p>
      <w:pPr>
        <w:pStyle w:val="Heading2"/>
      </w:pPr>
      <w:r>
        <w:t xml:space="preserve">Dzień pierwszy</w:t>
      </w:r>
    </w:p>
    <w:bookmarkStart w:id="24" w:name="przygotowanie-do-pracy"/>
    <w:p>
      <w:pPr>
        <w:pStyle w:val="Heading3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Uzupełnić kwas,</w:t>
      </w:r>
      <w:r>
        <w:t xml:space="preserve"> </w:t>
      </w:r>
      <w:r>
        <w:rPr>
          <w:bCs/>
          <w:b/>
        </w:rPr>
        <w:t xml:space="preserve">5% HCl</w:t>
      </w:r>
      <w:r>
        <w:t xml:space="preserve"> </w:t>
      </w:r>
      <w:r>
        <w:t xml:space="preserve">jeśli to konieczne.</w:t>
      </w:r>
    </w:p>
    <w:p>
      <w:pPr>
        <w:numPr>
          <w:ilvl w:val="0"/>
          <w:numId w:val="1001"/>
        </w:numPr>
      </w:pPr>
      <w:r>
        <w:t xml:space="preserve">Wymienić osuszki jeśli to konieczne.</w:t>
      </w:r>
    </w:p>
    <w:p>
      <w:pPr>
        <w:numPr>
          <w:ilvl w:val="0"/>
          <w:numId w:val="1001"/>
        </w:numPr>
      </w:pPr>
      <w:r>
        <w:t xml:space="preserve">Wymienić miedź i wełnę mosiężną w U-rurce jeśli to konieczne.</w:t>
      </w:r>
    </w:p>
    <w:p>
      <w:pPr>
        <w:numPr>
          <w:ilvl w:val="0"/>
          <w:numId w:val="1001"/>
        </w:numPr>
      </w:pPr>
      <w:r>
        <w:t xml:space="preserve">Umyć reaktor jeśli to konieczne.</w:t>
      </w:r>
    </w:p>
    <w:bookmarkEnd w:id="24"/>
    <w:bookmarkStart w:id="30" w:name="praca-z-urządzeniem"/>
    <w:p>
      <w:pPr>
        <w:pStyle w:val="Heading3"/>
      </w:pPr>
      <w:r>
        <w:t xml:space="preserve">Praca z urządzeniem</w:t>
      </w:r>
    </w:p>
    <w:bookmarkStart w:id="25" w:name="przygotowanie-do-pracy-1"/>
    <w:p>
      <w:pPr>
        <w:pStyle w:val="Heading4"/>
      </w:pPr>
      <w:r>
        <w:t xml:space="preserve">Przygotowanie do pracy</w:t>
      </w:r>
    </w:p>
    <w:p>
      <w:pPr>
        <w:numPr>
          <w:ilvl w:val="0"/>
          <w:numId w:val="1002"/>
        </w:numPr>
      </w:pPr>
      <w:r>
        <w:t xml:space="preserve">Włączyć SoliTIC pomarańczowym włącznikiem z prawej strony urządzenia.</w:t>
      </w:r>
    </w:p>
    <w:p>
      <w:pPr>
        <w:numPr>
          <w:ilvl w:val="0"/>
          <w:numId w:val="1002"/>
        </w:numPr>
      </w:pPr>
      <w:r>
        <w:t xml:space="preserve">Założyć owiewkę wyprowadzającą gorące powietrze z tyłu Vario El Cube.</w:t>
      </w:r>
    </w:p>
    <w:p>
      <w:pPr>
        <w:numPr>
          <w:ilvl w:val="0"/>
          <w:numId w:val="1002"/>
        </w:numPr>
      </w:pPr>
      <w:r>
        <w:t xml:space="preserve">Włączyć Vario El Cube zielonym guzikiem z prawej strony urządzenia.</w:t>
      </w:r>
    </w:p>
    <w:p>
      <w:pPr>
        <w:numPr>
          <w:ilvl w:val="0"/>
          <w:numId w:val="100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2"/>
        </w:numPr>
      </w:pPr>
      <w:r>
        <w:t xml:space="preserve">Poczekać aż się detektor (TCD) osiągnie temperaturę roboczą.</w:t>
      </w:r>
    </w:p>
    <w:p>
      <w:pPr>
        <w:numPr>
          <w:ilvl w:val="0"/>
          <w:numId w:val="1000"/>
        </w:numPr>
      </w:pPr>
      <w:r>
        <w:t xml:space="preserve">Pole TCD powinno przestać migać i pokazywać wartość powinna wynosić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czasie rozgrzewania urządzenia gazy techniczne powinny pozostać zakręcone.</w:t>
      </w:r>
    </w:p>
    <w:p>
      <w:pPr>
        <w:numPr>
          <w:ilvl w:val="0"/>
          <w:numId w:val="1002"/>
        </w:numPr>
      </w:pPr>
      <w:r>
        <w:t xml:space="preserve">Odkręcić hel:</w:t>
      </w:r>
    </w:p>
    <w:p>
      <w:pPr>
        <w:numPr>
          <w:ilvl w:val="1"/>
          <w:numId w:val="1003"/>
        </w:numPr>
      </w:pPr>
      <w:r>
        <w:t xml:space="preserve">Czarny zawór na butli.</w:t>
      </w:r>
    </w:p>
    <w:p>
      <w:pPr>
        <w:numPr>
          <w:ilvl w:val="1"/>
          <w:numId w:val="1003"/>
        </w:numPr>
      </w:pPr>
      <w:r>
        <w:t xml:space="preserve">Skrajny biały zawór po lewej stronie reduktora.</w:t>
      </w:r>
    </w:p>
    <w:p>
      <w:pPr>
        <w:numPr>
          <w:ilvl w:val="1"/>
          <w:numId w:val="1003"/>
        </w:numPr>
      </w:pPr>
      <w:r>
        <w:t xml:space="preserve">Zamknąć odpływ z reaktora SoliTIC, zablokować zawór.</w:t>
      </w:r>
    </w:p>
    <w:p>
      <w:pPr>
        <w:numPr>
          <w:ilvl w:val="0"/>
          <w:numId w:val="1000"/>
        </w:numPr>
      </w:pPr>
      <w:r>
        <w:t xml:space="preserve">TCD flow powinno pokazywać około</w:t>
      </w:r>
      <w:r>
        <w:t xml:space="preserve"> </w:t>
      </w:r>
      <w:r>
        <w:rPr>
          <w:bCs/>
          <w:b/>
        </w:rPr>
        <w:t xml:space="preserve">230 ml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1200 mbar</w:t>
      </w:r>
      <w:r>
        <w:t xml:space="preserve"> </w:t>
      </w:r>
      <w:r>
        <w:t xml:space="preserve">i stabilne.</w:t>
      </w:r>
    </w:p>
    <w:p>
      <w:pPr>
        <w:numPr>
          <w:ilvl w:val="0"/>
          <w:numId w:val="1002"/>
        </w:numPr>
      </w:pPr>
      <w:r>
        <w:t xml:space="preserve">Po stabilizacji TC detect wyzerować system: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System &gt; Autozero</w:t>
      </w:r>
    </w:p>
    <w:p>
      <w:pPr>
        <w:numPr>
          <w:ilvl w:val="0"/>
          <w:numId w:val="1002"/>
        </w:numPr>
      </w:pPr>
      <w:r>
        <w:t xml:space="preserve">Kliknąć</w:t>
      </w:r>
      <w:r>
        <w:t xml:space="preserve"> </w:t>
      </w:r>
      <w:r>
        <w:rPr>
          <w:rStyle w:val="VerbatimChar"/>
        </w:rPr>
        <w:t xml:space="preserve">ON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Single analysis &gt; OK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Kolejność prób: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Rozruch</w:t>
      </w:r>
      <w:r>
        <w:t xml:space="preserve">: kilka prób z samą wodą, aż</w:t>
      </w:r>
      <w:r>
        <w:t xml:space="preserve"> </w:t>
      </w:r>
      <w:r>
        <w:rPr>
          <w:bCs/>
          <w:b/>
        </w:rPr>
        <w:t xml:space="preserve">TIC area</w:t>
      </w:r>
      <w:r>
        <w:t xml:space="preserve"> </w:t>
      </w:r>
      <w:r>
        <w:t xml:space="preserve">się ustabilizuje.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Blnk</w:t>
      </w:r>
      <w:r>
        <w:t xml:space="preserve">: próby ślepe (też sama woda): 2.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Standars</w:t>
      </w:r>
      <w:r>
        <w:t xml:space="preserve"> </w:t>
      </w:r>
      <w:r>
        <w:t xml:space="preserve">(s. peaty, s. chalky, s. sandy): 2.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RunIn</w:t>
      </w:r>
      <w:r>
        <w:t xml:space="preserve"> </w:t>
      </w:r>
      <w:r>
        <w:t xml:space="preserve">(KOS–13): 2.</w:t>
      </w:r>
    </w:p>
    <w:bookmarkEnd w:id="25"/>
    <w:bookmarkStart w:id="26" w:name="analiza-próbki"/>
    <w:p>
      <w:pPr>
        <w:pStyle w:val="Heading4"/>
      </w:pPr>
      <w:r>
        <w:t xml:space="preserve">Analiza próbki</w:t>
      </w:r>
    </w:p>
    <w:p>
      <w:pPr>
        <w:numPr>
          <w:ilvl w:val="0"/>
          <w:numId w:val="1005"/>
        </w:numPr>
      </w:pPr>
      <w:r>
        <w:t xml:space="preserve">W łódeczce umieścić</w:t>
      </w:r>
      <w:r>
        <w:t xml:space="preserve"> </w:t>
      </w:r>
      <w:r>
        <w:rPr>
          <w:bCs/>
          <w:b/>
        </w:rPr>
        <w:t xml:space="preserve">10–15</w:t>
      </w:r>
      <w:r>
        <w:t xml:space="preserve"> </w:t>
      </w:r>
      <w:r>
        <w:t xml:space="preserve">mg osadu.</w:t>
      </w:r>
    </w:p>
    <w:p>
      <w:pPr>
        <w:numPr>
          <w:ilvl w:val="0"/>
          <w:numId w:val="1000"/>
        </w:numPr>
      </w:pPr>
      <w:r>
        <w:t xml:space="preserve">Masa osadu ustalona dla przeważnie analizowanej gytii jeziornej. W przypadku innych osadów należy najpierw wykonać oznaczenia testowe na reprezentatywnych próbkach.</w:t>
      </w:r>
    </w:p>
    <w:p>
      <w:pPr>
        <w:numPr>
          <w:ilvl w:val="0"/>
          <w:numId w:val="1005"/>
        </w:numPr>
      </w:pPr>
      <w:r>
        <w:t xml:space="preserve">W tabeli wpisać nazwę próbki, wybrać metodę oraz wprowadzić dane z wagi na komputer (jeśli dioda</w:t>
      </w:r>
      <w:r>
        <w:t xml:space="preserve"> </w:t>
      </w:r>
      <w:r>
        <w:rPr>
          <w:rStyle w:val="VerbatimChar"/>
        </w:rPr>
        <w:t xml:space="preserve">On/Off</w:t>
      </w:r>
      <w:r>
        <w:t xml:space="preserve"> </w:t>
      </w:r>
      <w:r>
        <w:t xml:space="preserve">świeci się).</w:t>
      </w:r>
    </w:p>
    <w:p>
      <w:pPr>
        <w:numPr>
          <w:ilvl w:val="0"/>
          <w:numId w:val="1005"/>
        </w:numPr>
      </w:pPr>
      <w:r>
        <w:t xml:space="preserve">Kliknąć</w:t>
      </w:r>
      <w:r>
        <w:t xml:space="preserve"> </w:t>
      </w:r>
      <w:r>
        <w:rPr>
          <w:rStyle w:val="VerbatimChar"/>
        </w:rPr>
        <w:t xml:space="preserve">ON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Rozpoczyna się tworzenie linii bazowej (</w:t>
      </w:r>
      <w:r>
        <w:rPr>
          <w:iCs/>
          <w:i/>
        </w:rPr>
        <w:t xml:space="preserve">base line</w:t>
      </w:r>
      <w:r>
        <w:t xml:space="preserve">): zawór pozostaje zamknięty.</w:t>
      </w:r>
    </w:p>
    <w:p>
      <w:pPr>
        <w:numPr>
          <w:ilvl w:val="0"/>
          <w:numId w:val="1005"/>
        </w:numPr>
      </w:pPr>
      <w:r>
        <w:t xml:space="preserve">Wyświetla się okienko podawania próbki.</w:t>
      </w:r>
    </w:p>
    <w:p>
      <w:pPr>
        <w:numPr>
          <w:ilvl w:val="0"/>
          <w:numId w:val="1005"/>
        </w:numPr>
      </w:pPr>
      <w:r>
        <w:t xml:space="preserve">Przy</w:t>
      </w:r>
      <w:r>
        <w:t xml:space="preserve"> </w:t>
      </w:r>
      <w:r>
        <w:rPr>
          <w:bCs/>
          <w:b/>
        </w:rPr>
        <w:t xml:space="preserve">zamkniętym</w:t>
      </w:r>
      <w:r>
        <w:t xml:space="preserve"> </w:t>
      </w:r>
      <w:r>
        <w:t xml:space="preserve">zaworze:</w:t>
      </w:r>
    </w:p>
    <w:p>
      <w:pPr>
        <w:numPr>
          <w:ilvl w:val="1"/>
          <w:numId w:val="1006"/>
        </w:numPr>
      </w:pPr>
      <w:r>
        <w:t xml:space="preserve">Odkręcić reaktor.</w:t>
      </w:r>
    </w:p>
    <w:p>
      <w:pPr>
        <w:numPr>
          <w:ilvl w:val="1"/>
          <w:numId w:val="1006"/>
        </w:numPr>
      </w:pPr>
      <w:r>
        <w:t xml:space="preserve">Wlać niewielką ilość wody dejonizowanej.</w:t>
      </w:r>
    </w:p>
    <w:p>
      <w:pPr>
        <w:numPr>
          <w:ilvl w:val="1"/>
          <w:numId w:val="1006"/>
        </w:numPr>
      </w:pPr>
      <w:r>
        <w:t xml:space="preserve">Umieścić lejek dłuższym końcem do dołu, uważając na rurkę wewnątrz.</w:t>
      </w:r>
    </w:p>
    <w:p>
      <w:pPr>
        <w:numPr>
          <w:ilvl w:val="1"/>
          <w:numId w:val="1006"/>
        </w:numPr>
      </w:pPr>
      <w:r>
        <w:t xml:space="preserve">Wsypać próbkę.</w:t>
      </w:r>
    </w:p>
    <w:p>
      <w:pPr>
        <w:numPr>
          <w:ilvl w:val="1"/>
          <w:numId w:val="1006"/>
        </w:numPr>
      </w:pPr>
      <w:r>
        <w:t xml:space="preserve">Spłukać resztki osadu z łódeczki i z lejka wodą dejonizowaną.</w:t>
      </w:r>
    </w:p>
    <w:p>
      <w:pPr>
        <w:numPr>
          <w:ilvl w:val="1"/>
          <w:numId w:val="1006"/>
        </w:numPr>
      </w:pPr>
      <w:r>
        <w:t xml:space="preserve">Zakręcić reaktor.</w:t>
      </w:r>
    </w:p>
    <w:p>
      <w:pPr>
        <w:numPr>
          <w:ilvl w:val="1"/>
          <w:numId w:val="1006"/>
        </w:numPr>
      </w:pPr>
      <w:r>
        <w:t xml:space="preserve">Wcisnąć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lub kliknąć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Podawany jest kwas.</w:t>
      </w:r>
    </w:p>
    <w:p>
      <w:pPr>
        <w:numPr>
          <w:ilvl w:val="0"/>
          <w:numId w:val="1000"/>
        </w:numPr>
      </w:pPr>
      <w:r>
        <w:t xml:space="preserve">Na tym etapie należy upewnić się, czy pompa perystaltyczna podaje kwas.</w:t>
      </w:r>
    </w:p>
    <w:p>
      <w:pPr>
        <w:numPr>
          <w:ilvl w:val="0"/>
          <w:numId w:val="1005"/>
        </w:numPr>
      </w:pPr>
      <w:r>
        <w:t xml:space="preserve">Po zakończeniu pomiaru wyświetlone zostanie okno usuwania próbki i czyszczenia reaktora:</w:t>
      </w:r>
    </w:p>
    <w:p>
      <w:pPr>
        <w:numPr>
          <w:ilvl w:val="1"/>
          <w:numId w:val="1007"/>
        </w:numPr>
      </w:pPr>
      <w:r>
        <w:t xml:space="preserve">Otworzyć zawór i spuścić wodę z reaktora.</w:t>
      </w:r>
    </w:p>
    <w:p>
      <w:pPr>
        <w:numPr>
          <w:ilvl w:val="1"/>
          <w:numId w:val="1007"/>
        </w:numPr>
      </w:pPr>
      <w:r>
        <w:t xml:space="preserve">Zamknąć zawór.</w:t>
      </w:r>
    </w:p>
    <w:p>
      <w:pPr>
        <w:numPr>
          <w:ilvl w:val="1"/>
          <w:numId w:val="1007"/>
        </w:numPr>
      </w:pPr>
      <w:r>
        <w:t xml:space="preserve">Odkręcić korek reaktora.</w:t>
      </w:r>
    </w:p>
    <w:p>
      <w:pPr>
        <w:numPr>
          <w:ilvl w:val="1"/>
          <w:numId w:val="1007"/>
        </w:numPr>
      </w:pPr>
      <w:r>
        <w:t xml:space="preserve">Spłukać zdecydowanie reaktor wodą.</w:t>
      </w:r>
    </w:p>
    <w:p>
      <w:pPr>
        <w:numPr>
          <w:ilvl w:val="1"/>
          <w:numId w:val="1007"/>
        </w:numPr>
      </w:pPr>
      <w:r>
        <w:t xml:space="preserve">Odczekać chwilę przy otwartym korku</w:t>
      </w:r>
    </w:p>
    <w:p>
      <w:pPr>
        <w:numPr>
          <w:ilvl w:val="1"/>
          <w:numId w:val="1000"/>
        </w:numPr>
      </w:pPr>
      <w:r>
        <w:t xml:space="preserve">Jest to niezbędny element analizy.</w:t>
      </w:r>
    </w:p>
    <w:p>
      <w:pPr>
        <w:numPr>
          <w:ilvl w:val="1"/>
          <w:numId w:val="1007"/>
        </w:numPr>
      </w:pPr>
      <w:r>
        <w:t xml:space="preserve">Zakręcić korek reaktora.</w:t>
      </w:r>
    </w:p>
    <w:p>
      <w:pPr>
        <w:numPr>
          <w:ilvl w:val="1"/>
          <w:numId w:val="1007"/>
        </w:numPr>
      </w:pPr>
      <w:r>
        <w:t xml:space="preserve">Poczekać aż ciśnienie ponownie wzrośnie do około</w:t>
      </w:r>
      <w:r>
        <w:t xml:space="preserve"> </w:t>
      </w:r>
      <w:r>
        <w:rPr>
          <w:bCs/>
          <w:b/>
        </w:rPr>
        <w:t xml:space="preserve">1000 mbar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Otworzyć zawór i spuścić wodę z reaktora.</w:t>
      </w:r>
    </w:p>
    <w:p>
      <w:pPr>
        <w:numPr>
          <w:ilvl w:val="0"/>
          <w:numId w:val="1005"/>
        </w:numPr>
      </w:pPr>
      <w:r>
        <w:t xml:space="preserve">Wysuszyć łódeczkę sprężonym powietrzem.</w:t>
      </w:r>
    </w:p>
    <w:bookmarkEnd w:id="26"/>
    <w:bookmarkStart w:id="27" w:name="analiza-kolejnej-próbki"/>
    <w:p>
      <w:pPr>
        <w:pStyle w:val="Heading4"/>
      </w:pPr>
      <w:r>
        <w:t xml:space="preserve">Analiza kolejnej próbki</w:t>
      </w:r>
    </w:p>
    <w:p>
      <w:pPr>
        <w:pStyle w:val="FirstParagraph"/>
      </w:pPr>
      <w:r>
        <w:t xml:space="preserve">Przed kolejną analizą urządzenie musi się ustabilizować.</w:t>
      </w:r>
    </w:p>
    <w:p>
      <w:pPr>
        <w:numPr>
          <w:ilvl w:val="0"/>
          <w:numId w:val="1008"/>
        </w:numPr>
      </w:pPr>
      <w:r>
        <w:t xml:space="preserve">TC detect musi być poniżej</w:t>
      </w:r>
      <w:r>
        <w:t xml:space="preserve"> </w:t>
      </w:r>
      <w:r>
        <w:rPr>
          <w:bCs/>
          <w:b/>
        </w:rPr>
        <w:t xml:space="preserve">500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TCD flow i He flow około</w:t>
      </w:r>
      <w:r>
        <w:t xml:space="preserve"> </w:t>
      </w:r>
      <w:r>
        <w:rPr>
          <w:bCs/>
          <w:b/>
        </w:rPr>
        <w:t xml:space="preserve">300 ml</w:t>
      </w:r>
      <w:r>
        <w:t xml:space="preserve">.</w:t>
      </w:r>
    </w:p>
    <w:bookmarkEnd w:id="27"/>
    <w:bookmarkStart w:id="28" w:name="zakończenie-dnia-pracy"/>
    <w:p>
      <w:pPr>
        <w:pStyle w:val="Heading4"/>
      </w:pPr>
      <w:r>
        <w:t xml:space="preserve">Zakończenie dnia pracy</w:t>
      </w:r>
    </w:p>
    <w:p>
      <w:pPr>
        <w:numPr>
          <w:ilvl w:val="0"/>
          <w:numId w:val="1009"/>
        </w:numPr>
      </w:pPr>
      <w:r>
        <w:t xml:space="preserve">Na koniec dnia uśpić urządzenie:</w:t>
      </w:r>
      <w:r>
        <w:t xml:space="preserve"> </w:t>
      </w:r>
      <w:r>
        <w:rPr>
          <w:rStyle w:val="VerbatimChar"/>
        </w:rPr>
        <w:t xml:space="preserve">ikonka księżyca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Nie zaznaczać</w:t>
      </w:r>
      <w:r>
        <w:t xml:space="preserve"> </w:t>
      </w:r>
      <w:r>
        <w:t xml:space="preserve">temperatury na piecu ponieważ CNS zacznie się nagrzewać.</w:t>
      </w:r>
    </w:p>
    <w:p>
      <w:pPr>
        <w:numPr>
          <w:ilvl w:val="0"/>
          <w:numId w:val="1009"/>
        </w:numPr>
      </w:pPr>
      <w:r>
        <w:t xml:space="preserve">Zakręcić hel (czarny zawór na butli i biały zawór po lewej stronie reduktora).</w:t>
      </w:r>
    </w:p>
    <w:bookmarkEnd w:id="28"/>
    <w:bookmarkStart w:id="29" w:name="następny-dzień"/>
    <w:p>
      <w:pPr>
        <w:pStyle w:val="Heading4"/>
      </w:pPr>
      <w:r>
        <w:t xml:space="preserve">Następny dzień</w:t>
      </w:r>
    </w:p>
    <w:p>
      <w:pPr>
        <w:numPr>
          <w:ilvl w:val="0"/>
          <w:numId w:val="1010"/>
        </w:numPr>
      </w:pPr>
      <w:r>
        <w:t xml:space="preserve">Zapisać plik z poprzedniego dnia.</w:t>
      </w:r>
    </w:p>
    <w:p>
      <w:pPr>
        <w:numPr>
          <w:ilvl w:val="0"/>
          <w:numId w:val="1010"/>
        </w:numPr>
      </w:pPr>
      <w:r>
        <w:t xml:space="preserve">Skopiować pierwsze wiersze (do</w:t>
      </w:r>
      <w:r>
        <w:t xml:space="preserve"> </w:t>
      </w:r>
      <w:r>
        <w:rPr>
          <w:rStyle w:val="VerbatimChar"/>
        </w:rPr>
        <w:t xml:space="preserve">RunIn</w:t>
      </w:r>
      <w:r>
        <w:t xml:space="preserve"> </w:t>
      </w:r>
      <w:r>
        <w:t xml:space="preserve">włącznie, tylko 4 pierwsze kolumny).</w:t>
      </w:r>
    </w:p>
    <w:p>
      <w:pPr>
        <w:numPr>
          <w:ilvl w:val="0"/>
          <w:numId w:val="1010"/>
        </w:numPr>
      </w:pPr>
      <w:r>
        <w:t xml:space="preserve">Otworzyć nowy arkusz.</w:t>
      </w:r>
    </w:p>
    <w:p>
      <w:pPr>
        <w:numPr>
          <w:ilvl w:val="0"/>
          <w:numId w:val="1010"/>
        </w:numPr>
      </w:pPr>
      <w:r>
        <w:t xml:space="preserve">Wkleić skopiowane wartości.</w:t>
      </w:r>
    </w:p>
    <w:p>
      <w:pPr>
        <w:numPr>
          <w:ilvl w:val="0"/>
          <w:numId w:val="1010"/>
        </w:numPr>
      </w:pPr>
      <w:r>
        <w:t xml:space="preserve">Zapisać jako nowy plik.</w:t>
      </w:r>
    </w:p>
    <w:p>
      <w:pPr>
        <w:numPr>
          <w:ilvl w:val="0"/>
          <w:numId w:val="1010"/>
        </w:numPr>
      </w:pPr>
      <w:r>
        <w:t xml:space="preserve">Uzupełnić nazwy prób.</w:t>
      </w:r>
    </w:p>
    <w:p>
      <w:pPr>
        <w:numPr>
          <w:ilvl w:val="0"/>
          <w:numId w:val="1010"/>
        </w:numPr>
      </w:pPr>
      <w:r>
        <w:t xml:space="preserve">Wybudzić urządzenie:</w:t>
      </w:r>
      <w:r>
        <w:t xml:space="preserve"> </w:t>
      </w:r>
      <w:r>
        <w:rPr>
          <w:rStyle w:val="VerbatimChar"/>
        </w:rPr>
        <w:t xml:space="preserve">ikonka budzika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Dolać kwasu, 5% HCl.</w:t>
      </w:r>
    </w:p>
    <w:p>
      <w:pPr>
        <w:numPr>
          <w:ilvl w:val="0"/>
          <w:numId w:val="1010"/>
        </w:numPr>
      </w:pPr>
      <w:r>
        <w:t xml:space="preserve">Poczekać aż temperatura ustabilizuje się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Odkręcić hel (czarny zawór na butli i biały zawór po lewej stronie reduktora).</w:t>
      </w:r>
    </w:p>
    <w:p>
      <w:pPr>
        <w:numPr>
          <w:ilvl w:val="0"/>
          <w:numId w:val="1010"/>
        </w:numPr>
      </w:pPr>
      <w:r>
        <w:t xml:space="preserve">Poczekać aż TC detect i ciśnienie się ustabilizują (TC detect przestanie spadać, ale musi być poniżej</w:t>
      </w:r>
      <w:r>
        <w:t xml:space="preserve"> </w:t>
      </w:r>
      <w:r>
        <w:rPr>
          <w:bCs/>
          <w:b/>
        </w:rPr>
        <w:t xml:space="preserve">1000</w:t>
      </w:r>
      <w:r>
        <w:t xml:space="preserve">, Press</w:t>
      </w:r>
      <w:r>
        <w:t xml:space="preserve"> </w:t>
      </w:r>
      <w:r>
        <w:rPr>
          <w:bCs/>
          <w:b/>
        </w:rPr>
        <w:t xml:space="preserve">1200 mbar</w:t>
      </w:r>
      <w:r>
        <w:t xml:space="preserve"> </w:t>
      </w:r>
      <w:r>
        <w:t xml:space="preserve">i stabilne).</w:t>
      </w:r>
    </w:p>
    <w:p>
      <w:pPr>
        <w:numPr>
          <w:ilvl w:val="0"/>
          <w:numId w:val="1010"/>
        </w:numPr>
      </w:pPr>
      <w:r>
        <w:t xml:space="preserve">Po stabilizacji TC detect wyzerować system: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System &gt; Autozero</w:t>
      </w:r>
    </w:p>
    <w:p>
      <w:pPr>
        <w:numPr>
          <w:ilvl w:val="0"/>
          <w:numId w:val="1010"/>
        </w:numPr>
      </w:pPr>
      <w:r>
        <w:t xml:space="preserve">Rozruch z użyciem wody.</w:t>
      </w:r>
    </w:p>
    <w:bookmarkEnd w:id="29"/>
    <w:bookmarkEnd w:id="30"/>
    <w:bookmarkEnd w:id="31"/>
    <w:bookmarkStart w:id="32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Joanna Piłczyńska, Maurycy Żarczyński 2022-12-08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2022-12-08T21:20:25Z</dcterms:created>
  <dcterms:modified xsi:type="dcterms:W3CDTF">2022-12-08T21:20:25Z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