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27" w:name="Xf2efda8dd1a4f4d0531192021e4ac6279dd5fa7"/>
    <w:p>
      <w:pPr>
        <w:pStyle w:val="Heading1"/>
      </w:pPr>
      <w:r>
        <w:t xml:space="preserve">Przygotowywanie prób do oznaczania aktywności</w:t>
      </w:r>
      <w:r>
        <w:t xml:space="preserve"> </w:t>
      </w:r>
      <w:r>
        <w:rPr>
          <w:vertAlign w:val="superscript"/>
        </w:rPr>
        <w:t xml:space="preserve">210</w:t>
      </w:r>
      <w:r>
        <w:t xml:space="preserve">Pb</w:t>
      </w:r>
    </w:p>
    <w:bookmarkStart w:id="24" w:name="etap-i"/>
    <w:p>
      <w:pPr>
        <w:pStyle w:val="Heading2"/>
      </w:pPr>
      <w:r>
        <w:t xml:space="preserve">Etap I</w:t>
      </w:r>
    </w:p>
    <w:p>
      <w:pPr>
        <w:numPr>
          <w:ilvl w:val="0"/>
          <w:numId w:val="1001"/>
        </w:numPr>
      </w:pPr>
      <w:r>
        <w:t xml:space="preserve">Przygotować zestaw pojemników do odważenia i do mineralizacji (wymyć i wysuszyć).</w:t>
      </w:r>
    </w:p>
    <w:p>
      <w:pPr>
        <w:numPr>
          <w:ilvl w:val="0"/>
          <w:numId w:val="1001"/>
        </w:numPr>
      </w:pPr>
      <w:r>
        <w:t xml:space="preserve">Postawić pojemnik do odważania na wadze analitycznej, wytarować, umieścić w pojemniku około</w:t>
      </w:r>
      <w:r>
        <w:t xml:space="preserve"> </w:t>
      </w:r>
      <w:r>
        <w:rPr>
          <w:bCs/>
          <w:b/>
        </w:rPr>
        <w:t xml:space="preserve">0.2 g</w:t>
      </w:r>
      <w:r>
        <w:t xml:space="preserve"> </w:t>
      </w:r>
      <w:r>
        <w:t xml:space="preserve">suchego osadu i zapisać jego masę.</w:t>
      </w:r>
    </w:p>
    <w:p>
      <w:pPr>
        <w:numPr>
          <w:ilvl w:val="0"/>
          <w:numId w:val="1001"/>
        </w:numPr>
      </w:pPr>
      <w:r>
        <w:t xml:space="preserve">Przesypać osad do pojemnika teflonowego do mineralizacji.</w:t>
      </w:r>
    </w:p>
    <w:p>
      <w:pPr>
        <w:numPr>
          <w:ilvl w:val="0"/>
          <w:numId w:val="1001"/>
        </w:numPr>
      </w:pPr>
      <w:r>
        <w:t xml:space="preserve">Pobrać</w:t>
      </w:r>
      <w:r>
        <w:t xml:space="preserve"> </w:t>
      </w:r>
      <w:r>
        <w:rPr>
          <w:bCs/>
          <w:b/>
        </w:rPr>
        <w:t xml:space="preserve">3 cm</w:t>
      </w:r>
      <w:r>
        <w:rPr>
          <w:vertAlign w:val="superscript"/>
          <w:bCs/>
          <w:b/>
        </w:rPr>
        <w:t xml:space="preserve">3</w:t>
      </w:r>
      <w:r>
        <w:t xml:space="preserve"> </w:t>
      </w:r>
      <w:r>
        <w:t xml:space="preserve">stężonego</w:t>
      </w:r>
      <w:r>
        <w:t xml:space="preserve"> </w:t>
      </w:r>
      <w:r>
        <w:rPr>
          <w:bCs/>
          <w:b/>
        </w:rPr>
        <w:t xml:space="preserve">HNO</w:t>
      </w:r>
      <w:r>
        <w:rPr>
          <w:vertAlign w:val="subscript"/>
          <w:bCs/>
          <w:b/>
        </w:rPr>
        <w:t xml:space="preserve">3</w:t>
      </w:r>
      <w:r>
        <w:rPr>
          <w:bCs/>
          <w:b/>
        </w:rPr>
        <w:t xml:space="preserve"> </w:t>
      </w:r>
      <w:r>
        <w:rPr>
          <w:bCs/>
          <w:b/>
        </w:rPr>
        <w:t xml:space="preserve">(65 %)</w:t>
      </w:r>
      <w:r>
        <w:t xml:space="preserve">, przenieść do pojemnika jednocześnie spłukując ścianki, a następnie przelać do pojemnika teflonowego.</w:t>
      </w:r>
    </w:p>
    <w:p>
      <w:pPr>
        <w:numPr>
          <w:ilvl w:val="0"/>
          <w:numId w:val="1001"/>
        </w:numPr>
      </w:pPr>
      <w:r>
        <w:t xml:space="preserve">Pobrać pipetą</w:t>
      </w:r>
      <w:r>
        <w:t xml:space="preserve"> </w:t>
      </w:r>
      <w:r>
        <w:rPr>
          <w:bCs/>
          <w:b/>
        </w:rPr>
        <w:t xml:space="preserve">200 µl</w:t>
      </w:r>
      <w:r>
        <w:t xml:space="preserve"> </w:t>
      </w:r>
      <w:r>
        <w:t xml:space="preserve">roztworu wzorcowego</w:t>
      </w:r>
      <w:r>
        <w:t xml:space="preserve"> </w:t>
      </w:r>
      <w:r>
        <w:rPr>
          <w:bCs/>
          <w:b/>
          <w:vertAlign w:val="superscript"/>
        </w:rPr>
        <w:t xml:space="preserve">209</w:t>
      </w:r>
      <w:r>
        <w:rPr>
          <w:bCs/>
          <w:b/>
        </w:rPr>
        <w:t xml:space="preserve">Po</w:t>
      </w:r>
      <w:r>
        <w:t xml:space="preserve"> </w:t>
      </w:r>
      <w:r>
        <w:t xml:space="preserve">i przenieść do pojemnika teflonowego.</w:t>
      </w:r>
    </w:p>
    <w:p>
      <w:pPr>
        <w:numPr>
          <w:ilvl w:val="0"/>
          <w:numId w:val="1001"/>
        </w:numPr>
      </w:pPr>
      <w:r>
        <w:t xml:space="preserve">Nałożyć korki na pojemniki teflonowe i szczelnie zakręcić. Delikatnie wymieszać i wstawić do mineralizatora, po czym włączyć program (Classical Methods)</w:t>
      </w:r>
      <w:r>
        <w:t xml:space="preserve"> </w:t>
      </w:r>
      <w:r>
        <w:rPr>
          <w:rStyle w:val="VerbatimChar"/>
        </w:rPr>
        <w:t xml:space="preserve">Pb-210 HNO3</w:t>
      </w:r>
      <w:r>
        <w:t xml:space="preserve"> </w:t>
      </w:r>
      <w:r>
        <w:t xml:space="preserve">(100 °C przez 2 h).</w:t>
      </w:r>
    </w:p>
    <w:p>
      <w:pPr>
        <w:numPr>
          <w:ilvl w:val="0"/>
          <w:numId w:val="1001"/>
        </w:numPr>
      </w:pPr>
      <w:r>
        <w:t xml:space="preserve">Wystawić pojemniki z mineralizatora, odkręcić ostrożnie (pod dygestorium) i dodać</w:t>
      </w:r>
      <w:r>
        <w:t xml:space="preserve"> </w:t>
      </w:r>
      <w:r>
        <w:rPr>
          <w:bCs/>
          <w:b/>
        </w:rPr>
        <w:t xml:space="preserve">3 cm</w:t>
      </w:r>
      <w:r>
        <w:rPr>
          <w:vertAlign w:val="superscript"/>
          <w:bCs/>
          <w:b/>
        </w:rPr>
        <w:t xml:space="preserve">3</w:t>
      </w:r>
      <w:r>
        <w:t xml:space="preserve"> </w:t>
      </w:r>
      <w:r>
        <w:t xml:space="preserve">stężonego</w:t>
      </w:r>
      <w:r>
        <w:t xml:space="preserve"> </w:t>
      </w:r>
      <w:r>
        <w:rPr>
          <w:bCs/>
          <w:b/>
        </w:rPr>
        <w:t xml:space="preserve">HClO</w:t>
      </w:r>
      <w:r>
        <w:rPr>
          <w:vertAlign w:val="subscript"/>
          <w:bCs/>
          <w:b/>
        </w:rPr>
        <w:t xml:space="preserve">4</w:t>
      </w:r>
      <w:r>
        <w:rPr>
          <w:bCs/>
          <w:b/>
        </w:rPr>
        <w:t xml:space="preserve"> </w:t>
      </w:r>
      <w:r>
        <w:rPr>
          <w:bCs/>
          <w:b/>
        </w:rPr>
        <w:t xml:space="preserve">(70 %)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Zakręcić szczelnie pojemniki teflonowe, wstawić do mineralizatora i włączyć program</w:t>
      </w:r>
      <w:r>
        <w:t xml:space="preserve"> </w:t>
      </w:r>
      <w:r>
        <w:rPr>
          <w:rStyle w:val="VerbatimChar"/>
        </w:rPr>
        <w:t xml:space="preserve">Pb-210 HClO4</w:t>
      </w:r>
      <w:r>
        <w:t xml:space="preserve"> </w:t>
      </w:r>
      <w:r>
        <w:t xml:space="preserve">(100 °C przez 2 h).</w:t>
      </w:r>
    </w:p>
    <w:p>
      <w:pPr>
        <w:numPr>
          <w:ilvl w:val="0"/>
          <w:numId w:val="1001"/>
        </w:numPr>
      </w:pPr>
      <w:r>
        <w:t xml:space="preserve">Wystawić pojemniki teflonowe z mineralizatora, odkręcić ostrożnie i dodać</w:t>
      </w:r>
      <w:r>
        <w:t xml:space="preserve"> </w:t>
      </w:r>
      <w:r>
        <w:rPr>
          <w:bCs/>
          <w:b/>
        </w:rPr>
        <w:t xml:space="preserve">3 cm</w:t>
      </w:r>
      <w:r>
        <w:rPr>
          <w:vertAlign w:val="superscript"/>
          <w:bCs/>
          <w:b/>
        </w:rPr>
        <w:t xml:space="preserve">3</w:t>
      </w:r>
      <w:r>
        <w:t xml:space="preserve"> </w:t>
      </w:r>
      <w:r>
        <w:t xml:space="preserve">stężonego</w:t>
      </w:r>
      <w:r>
        <w:t xml:space="preserve"> </w:t>
      </w:r>
      <w:r>
        <w:rPr>
          <w:bCs/>
          <w:b/>
        </w:rPr>
        <w:t xml:space="preserve">HF (40 %)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Zakręcić szczelnie pojemniki teflonowe, wstawić do mineralizatora i włączyć program</w:t>
      </w:r>
      <w:r>
        <w:t xml:space="preserve"> </w:t>
      </w:r>
      <w:r>
        <w:rPr>
          <w:rStyle w:val="VerbatimChar"/>
        </w:rPr>
        <w:t xml:space="preserve">Pb-210 HF</w:t>
      </w:r>
      <w:r>
        <w:t xml:space="preserve"> </w:t>
      </w:r>
      <w:r>
        <w:t xml:space="preserve">(100 °C przez 4 h).</w:t>
      </w:r>
    </w:p>
    <w:bookmarkEnd w:id="24"/>
    <w:bookmarkStart w:id="25" w:name="etap-ii"/>
    <w:p>
      <w:pPr>
        <w:pStyle w:val="Heading2"/>
      </w:pPr>
      <w:r>
        <w:t xml:space="preserve">Etap II</w:t>
      </w:r>
    </w:p>
    <w:p>
      <w:pPr>
        <w:numPr>
          <w:ilvl w:val="0"/>
          <w:numId w:val="1002"/>
        </w:numPr>
      </w:pPr>
      <w:r>
        <w:t xml:space="preserve">Wystawić pojemniki teflonowe z mineralizatora i przenieść za pomocą</w:t>
      </w:r>
      <w:r>
        <w:t xml:space="preserve"> </w:t>
      </w:r>
      <w:r>
        <w:rPr>
          <w:bCs/>
          <w:b/>
        </w:rPr>
        <w:t xml:space="preserve">6 mol HCl (5 cm</w:t>
      </w:r>
      <w:r>
        <w:rPr>
          <w:vertAlign w:val="superscript"/>
          <w:bCs/>
          <w:b/>
        </w:rPr>
        <w:t xml:space="preserve">3</w:t>
      </w:r>
      <w:r>
        <w:rPr>
          <w:bCs/>
          <w:b/>
        </w:rPr>
        <w:t xml:space="preserve">)</w:t>
      </w:r>
      <w:r>
        <w:t xml:space="preserve"> </w:t>
      </w:r>
      <w:r>
        <w:t xml:space="preserve">roztwór i pozostałość osadu ilościowo do parowniczek teflonowych (wymieszać osad w pojemnikach teflonowych, przelać do parowniczki, wypłukać pojemnik teflonowy</w:t>
      </w:r>
      <w:r>
        <w:t xml:space="preserve"> </w:t>
      </w:r>
      <w:r>
        <w:rPr>
          <w:bCs/>
          <w:b/>
        </w:rPr>
        <w:t xml:space="preserve">HCl</w:t>
      </w:r>
      <w:r>
        <w:t xml:space="preserve"> </w:t>
      </w:r>
      <w:r>
        <w:t xml:space="preserve">i przelać do parowniczki).</w:t>
      </w:r>
    </w:p>
    <w:p>
      <w:pPr>
        <w:numPr>
          <w:ilvl w:val="0"/>
          <w:numId w:val="1002"/>
        </w:numPr>
      </w:pPr>
      <w:r>
        <w:t xml:space="preserve">Odparować na płycie grzejnej (</w:t>
      </w:r>
      <w:r>
        <w:rPr>
          <w:bCs/>
          <w:b/>
        </w:rPr>
        <w:t xml:space="preserve">200 °C</w:t>
      </w:r>
      <w:r>
        <w:t xml:space="preserve">, płytę zabezpieczyć folią aluminiową) bez przykrycia do pojawienia się wyraźnie białych dymów, następnie przykryć pokrywką teflonową i ogrzewać dalej pod przykryciem</w:t>
      </w:r>
      <w:r>
        <w:t xml:space="preserve"> </w:t>
      </w:r>
      <w:r>
        <w:rPr>
          <w:bCs/>
          <w:b/>
        </w:rPr>
        <w:t xml:space="preserve">min. 30 minut</w:t>
      </w:r>
      <w:r>
        <w:t xml:space="preserve">, aż do sklarowania roztworu (</w:t>
      </w:r>
      <w:r>
        <w:rPr>
          <w:bCs/>
          <w:b/>
        </w:rPr>
        <w:t xml:space="preserve">max. 1 h</w:t>
      </w:r>
      <w:r>
        <w:t xml:space="preserve">).</w:t>
      </w:r>
    </w:p>
    <w:p>
      <w:pPr>
        <w:numPr>
          <w:ilvl w:val="0"/>
          <w:numId w:val="1002"/>
        </w:numPr>
      </w:pPr>
      <w:r>
        <w:t xml:space="preserve">Odkryć i dodać</w:t>
      </w:r>
      <w:r>
        <w:t xml:space="preserve"> </w:t>
      </w:r>
      <w:r>
        <w:rPr>
          <w:bCs/>
          <w:b/>
        </w:rPr>
        <w:t xml:space="preserve">3 cm</w:t>
      </w:r>
      <w:r>
        <w:rPr>
          <w:vertAlign w:val="superscript"/>
          <w:bCs/>
          <w:b/>
        </w:rPr>
        <w:t xml:space="preserve">3</w:t>
      </w:r>
      <w:r>
        <w:rPr>
          <w:bCs/>
          <w:b/>
        </w:rPr>
        <w:t xml:space="preserve"> </w:t>
      </w:r>
      <w:r>
        <w:rPr>
          <w:bCs/>
          <w:b/>
        </w:rPr>
        <w:t xml:space="preserve">6 mol HCl</w:t>
      </w:r>
      <w:r>
        <w:t xml:space="preserve">, następnie odparować do suchej pozostałości.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Nie prażyć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Rozpuścić suchą pozostałość w</w:t>
      </w:r>
      <w:r>
        <w:t xml:space="preserve"> </w:t>
      </w:r>
      <w:r>
        <w:rPr>
          <w:bCs/>
          <w:b/>
        </w:rPr>
        <w:t xml:space="preserve">27 cm</w:t>
      </w:r>
      <w:r>
        <w:rPr>
          <w:vertAlign w:val="superscript"/>
          <w:bCs/>
          <w:b/>
        </w:rPr>
        <w:t xml:space="preserve">3</w:t>
      </w:r>
      <w:r>
        <w:rPr>
          <w:bCs/>
          <w:b/>
        </w:rPr>
        <w:t xml:space="preserve"> </w:t>
      </w:r>
      <w:r>
        <w:rPr>
          <w:bCs/>
          <w:b/>
        </w:rPr>
        <w:t xml:space="preserve">0.5 mol HCl</w:t>
      </w:r>
      <w:r>
        <w:t xml:space="preserve">, dodać ok.</w:t>
      </w:r>
      <w:r>
        <w:t xml:space="preserve"> </w:t>
      </w:r>
      <w:r>
        <w:rPr>
          <w:bCs/>
          <w:b/>
        </w:rPr>
        <w:t xml:space="preserve">0.1 g kwasu askorbinowego</w:t>
      </w:r>
      <w:r>
        <w:t xml:space="preserve"> </w:t>
      </w:r>
      <w:r>
        <w:t xml:space="preserve">i </w:t>
      </w:r>
      <w:r>
        <w:rPr>
          <w:bCs/>
          <w:b/>
        </w:rPr>
        <w:t xml:space="preserve">0.1 g hydroksyloaminy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Podgrzać roztwór do temperatury</w:t>
      </w:r>
      <w:r>
        <w:t xml:space="preserve"> </w:t>
      </w:r>
      <w:r>
        <w:rPr>
          <w:bCs/>
          <w:b/>
        </w:rPr>
        <w:t xml:space="preserve">90 °C</w:t>
      </w:r>
      <w:r>
        <w:t xml:space="preserve">. W międzyczasie opisać blaszki srebrne symbolami prób oraz datą i zamontować w uchwytach (czystą częścią do góry).</w:t>
      </w:r>
    </w:p>
    <w:p>
      <w:pPr>
        <w:numPr>
          <w:ilvl w:val="0"/>
          <w:numId w:val="1002"/>
        </w:numPr>
      </w:pPr>
      <w:r>
        <w:t xml:space="preserve">Wrzucić magnesy i zamknąć naczynia do depozycji. Ustawić naczynia na mieszadle magnetycznym, ustawić podgrzewanie na wartość</w:t>
      </w:r>
      <w:r>
        <w:t xml:space="preserve"> </w:t>
      </w:r>
      <w:r>
        <w:rPr>
          <w:bCs/>
          <w:b/>
        </w:rPr>
        <w:t xml:space="preserve">10</w:t>
      </w:r>
      <w:r>
        <w:t xml:space="preserve"> </w:t>
      </w:r>
      <w:r>
        <w:t xml:space="preserve">(maksimum) i obroty na wartość</w:t>
      </w:r>
      <w:r>
        <w:t xml:space="preserve"> </w:t>
      </w:r>
      <w:r>
        <w:rPr>
          <w:bCs/>
          <w:b/>
        </w:rPr>
        <w:t xml:space="preserve">1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Proces depozycji powinien trwać co najmniej</w:t>
      </w:r>
      <w:r>
        <w:t xml:space="preserve"> </w:t>
      </w:r>
      <w:r>
        <w:rPr>
          <w:bCs/>
          <w:b/>
        </w:rPr>
        <w:t xml:space="preserve">4 h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Wyciągnąć blaszki srebrne, spłukać wodą dejonizowaną, przetrzeć</w:t>
      </w:r>
      <w:r>
        <w:t xml:space="preserve"> </w:t>
      </w:r>
      <w:r>
        <w:rPr>
          <w:bCs/>
          <w:b/>
        </w:rPr>
        <w:t xml:space="preserve">metanolem</w:t>
      </w:r>
      <w:r>
        <w:t xml:space="preserve"> </w:t>
      </w:r>
      <w:r>
        <w:t xml:space="preserve">lub</w:t>
      </w:r>
      <w:r>
        <w:t xml:space="preserve"> </w:t>
      </w:r>
      <w:r>
        <w:rPr>
          <w:bCs/>
          <w:b/>
        </w:rPr>
        <w:t xml:space="preserve">etanolem</w:t>
      </w:r>
      <w:r>
        <w:t xml:space="preserve">, sprawdzić podpisy i zabezpieczyć.</w:t>
      </w:r>
    </w:p>
    <w:bookmarkEnd w:id="25"/>
    <w:bookmarkStart w:id="26" w:name="rejestr-zmian"/>
    <w:p>
      <w:pPr>
        <w:pStyle w:val="Heading2"/>
      </w:pPr>
      <w:r>
        <w:t xml:space="preserve">Rejestr zmian</w:t>
      </w:r>
    </w:p>
    <w:p>
      <w:pPr>
        <w:pStyle w:val="FirstParagraph"/>
      </w:pPr>
      <w:r>
        <w:t xml:space="preserve">01.12.2022, MZ – wersja inicjalna Quarto. Rozwinięcie treści. M zamienione na mol zgodnie z wytycznymi SI.</w:t>
      </w:r>
    </w:p>
    <w:p>
      <w:pPr>
        <w:pStyle w:val="BodyText"/>
      </w:pPr>
      <w:r>
        <w:t xml:space="preserve">Wojciech Tylmann, Karolina Molisak, Joanna Piłczyńska, Maurycy Żarczyński 2022-12-08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2022-12-08T21:24:27Z</dcterms:created>
  <dcterms:modified xsi:type="dcterms:W3CDTF">2022-12-08T21:24:27Z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heme">
    <vt:lpwstr/>
  </property>
  <property fmtid="{D5CDD505-2E9C-101B-9397-08002B2CF9AE}" pid="9" name="toc-title">
    <vt:lpwstr>Table of contents</vt:lpwstr>
  </property>
</Properties>
</file>