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0" w:name="ekstrakcja-pigmentów-z-osadów-jeziornych"/>
    <w:p>
      <w:pPr>
        <w:pStyle w:val="Heading1"/>
      </w:pPr>
      <w:r>
        <w:t xml:space="preserve">Ekstrakcja pigmentów z osadów jeziornych</w:t>
      </w:r>
    </w:p>
    <w:bookmarkStart w:id="26" w:name="materiały-eksploatacyjne-i-urządzenia"/>
    <w:p>
      <w:pPr>
        <w:pStyle w:val="Heading2"/>
      </w:pPr>
      <w:r>
        <w:t xml:space="preserve">Materiały eksploatacyjne i urządzenia</w:t>
      </w:r>
    </w:p>
    <w:bookmarkStart w:id="24" w:name="odczynniki-chemiczne"/>
    <w:p>
      <w:pPr>
        <w:pStyle w:val="Heading3"/>
      </w:pPr>
      <w:r>
        <w:t xml:space="preserve">Odczynniki chemiczne</w:t>
      </w:r>
    </w:p>
    <w:p>
      <w:pPr>
        <w:numPr>
          <w:ilvl w:val="0"/>
          <w:numId w:val="1001"/>
        </w:numPr>
      </w:pPr>
      <w:r>
        <w:t xml:space="preserve">Aceton</w:t>
      </w:r>
      <w:r>
        <w:t xml:space="preserve"> </w:t>
      </w:r>
      <w:r>
        <w:rPr>
          <w:bCs/>
          <w:b/>
        </w:rPr>
        <w:t xml:space="preserve">100%</w:t>
      </w:r>
      <w:r>
        <w:t xml:space="preserve"> </w:t>
      </w:r>
      <w:r>
        <w:t xml:space="preserve">(klasa czystości</w:t>
      </w:r>
      <w:r>
        <w:t xml:space="preserve"> </w:t>
      </w:r>
      <w:r>
        <w:rPr>
          <w:bCs/>
          <w:b/>
        </w:rPr>
        <w:t xml:space="preserve">HPLC</w:t>
      </w:r>
      <w:r>
        <w:t xml:space="preserve">): rozpuszczalnik.</w:t>
      </w:r>
    </w:p>
    <w:p>
      <w:pPr>
        <w:numPr>
          <w:ilvl w:val="0"/>
          <w:numId w:val="1001"/>
        </w:numPr>
      </w:pPr>
      <w:r>
        <w:t xml:space="preserve">Aceton</w:t>
      </w:r>
      <w:r>
        <w:t xml:space="preserve"> </w:t>
      </w:r>
      <w:r>
        <w:rPr>
          <w:bCs/>
          <w:b/>
        </w:rPr>
        <w:t xml:space="preserve">techniczny</w:t>
      </w:r>
      <w:r>
        <w:t xml:space="preserve">: czyszczenie naczyń i urządzeń.</w:t>
      </w:r>
    </w:p>
    <w:p>
      <w:pPr>
        <w:numPr>
          <w:ilvl w:val="0"/>
          <w:numId w:val="1001"/>
        </w:numPr>
      </w:pPr>
      <w:r>
        <w:t xml:space="preserve">Woda</w:t>
      </w:r>
      <w:r>
        <w:t xml:space="preserve"> </w:t>
      </w:r>
      <w:r>
        <w:rPr>
          <w:bCs/>
          <w:b/>
        </w:rPr>
        <w:t xml:space="preserve">redestylowana (</w:t>
      </w:r>
      <w:r>
        <w:rPr>
          <w:iCs/>
          <w:i/>
          <w:bCs/>
          <w:b/>
        </w:rPr>
        <w:t xml:space="preserve">MilliQ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Azot.</w:t>
      </w:r>
    </w:p>
    <w:p>
      <w:pPr>
        <w:pStyle w:val="FirstParagraph"/>
      </w:pPr>
      <w:r>
        <w:t xml:space="preserve">Urządzenia</w:t>
      </w:r>
    </w:p>
    <w:p>
      <w:pPr>
        <w:numPr>
          <w:ilvl w:val="0"/>
          <w:numId w:val="1002"/>
        </w:numPr>
      </w:pPr>
      <w:r>
        <w:t xml:space="preserve">Wyciąg laboratoryjny.</w:t>
      </w:r>
    </w:p>
    <w:p>
      <w:pPr>
        <w:numPr>
          <w:ilvl w:val="0"/>
          <w:numId w:val="1000"/>
        </w:numPr>
      </w:pPr>
      <w:r>
        <w:t xml:space="preserve">Stężony aceton (C</w:t>
      </w:r>
      <w:r>
        <w:rPr>
          <w:vertAlign w:val="subscript"/>
        </w:rPr>
        <w:t xml:space="preserve">3</w:t>
      </w:r>
      <w:r>
        <w:t xml:space="preserve">H</w:t>
      </w:r>
      <w:r>
        <w:rPr>
          <w:vertAlign w:val="subscript"/>
        </w:rPr>
        <w:t xml:space="preserve">6</w:t>
      </w:r>
      <w:r>
        <w:t xml:space="preserve">O) to rozpuszczalnik organiczny, który wymaga pracy pod włączonym</w:t>
      </w:r>
      <w:r>
        <w:t xml:space="preserve"> </w:t>
      </w:r>
      <w:r>
        <w:rPr>
          <w:bCs/>
          <w:b/>
        </w:rPr>
        <w:t xml:space="preserve">wyciągiem laboratoryjnym</w:t>
      </w:r>
      <w:r>
        <w:t xml:space="preserve">. Aceton jest wysoce</w:t>
      </w:r>
      <w:r>
        <w:t xml:space="preserve"> </w:t>
      </w:r>
      <w:r>
        <w:rPr>
          <w:bCs/>
          <w:b/>
        </w:rPr>
        <w:t xml:space="preserve">łatwopalny</w:t>
      </w:r>
      <w:r>
        <w:t xml:space="preserve">. Aceton ma silne działanie</w:t>
      </w:r>
      <w:r>
        <w:t xml:space="preserve"> </w:t>
      </w:r>
      <w:r>
        <w:rPr>
          <w:bCs/>
          <w:b/>
        </w:rPr>
        <w:t xml:space="preserve">drażniące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Myjka ultradźwiękowa.</w:t>
      </w:r>
    </w:p>
    <w:p>
      <w:pPr>
        <w:numPr>
          <w:ilvl w:val="0"/>
          <w:numId w:val="1002"/>
        </w:numPr>
      </w:pPr>
      <w:r>
        <w:t xml:space="preserve">Wirówka laboratoryjna o parametrach</w:t>
      </w:r>
    </w:p>
    <w:p>
      <w:pPr>
        <w:numPr>
          <w:ilvl w:val="0"/>
          <w:numId w:val="1002"/>
        </w:numPr>
      </w:pPr>
      <w:r>
        <w:t xml:space="preserve">Wytrząsarka typu</w:t>
      </w:r>
      <w:r>
        <w:t xml:space="preserve"> </w:t>
      </w:r>
      <w:r>
        <w:rPr>
          <w:iCs/>
          <w:i/>
        </w:rPr>
        <w:t xml:space="preserve">Vortex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Suszarka laboratoryjna.</w:t>
      </w:r>
    </w:p>
    <w:p>
      <w:pPr>
        <w:numPr>
          <w:ilvl w:val="0"/>
          <w:numId w:val="1002"/>
        </w:numPr>
      </w:pPr>
      <w:r>
        <w:t xml:space="preserve">Liofilizator.</w:t>
      </w:r>
    </w:p>
    <w:p>
      <w:pPr>
        <w:numPr>
          <w:ilvl w:val="0"/>
          <w:numId w:val="1002"/>
        </w:numPr>
      </w:pPr>
      <w:r>
        <w:t xml:space="preserve">Szklane cylindry wolumetryczne:</w:t>
      </w:r>
    </w:p>
    <w:p>
      <w:pPr>
        <w:numPr>
          <w:ilvl w:val="1"/>
          <w:numId w:val="1003"/>
        </w:numPr>
      </w:pPr>
      <w:r>
        <w:t xml:space="preserve">500 ml.</w:t>
      </w:r>
    </w:p>
    <w:p>
      <w:pPr>
        <w:numPr>
          <w:ilvl w:val="1"/>
          <w:numId w:val="1003"/>
        </w:numPr>
      </w:pPr>
      <w:r>
        <w:t xml:space="preserve">1000 ml.</w:t>
      </w:r>
    </w:p>
    <w:p>
      <w:pPr>
        <w:numPr>
          <w:ilvl w:val="0"/>
          <w:numId w:val="1002"/>
        </w:numPr>
      </w:pPr>
      <w:r>
        <w:t xml:space="preserve">Szklane zlewki.</w:t>
      </w:r>
    </w:p>
    <w:p>
      <w:pPr>
        <w:numPr>
          <w:ilvl w:val="0"/>
          <w:numId w:val="1002"/>
        </w:numPr>
      </w:pPr>
      <w:r>
        <w:t xml:space="preserve">Blok grzewczy.</w:t>
      </w:r>
    </w:p>
    <w:p>
      <w:pPr>
        <w:numPr>
          <w:ilvl w:val="0"/>
          <w:numId w:val="1002"/>
        </w:numPr>
      </w:pPr>
      <w:r>
        <w:t xml:space="preserve">Ewaporator N</w:t>
      </w:r>
      <w:r>
        <w:rPr>
          <w:vertAlign w:val="subscript"/>
        </w:rPr>
        <w:t xml:space="preserve">2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Igły do N</w:t>
      </w:r>
      <w:r>
        <w:rPr>
          <w:vertAlign w:val="subscript"/>
        </w:rPr>
        <w:t xml:space="preserve">2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Metalowy statyw na próbki.</w:t>
      </w:r>
    </w:p>
    <w:p>
      <w:pPr>
        <w:numPr>
          <w:ilvl w:val="0"/>
          <w:numId w:val="1002"/>
        </w:numPr>
      </w:pPr>
      <w:r>
        <w:t xml:space="preserve">Statywy na próbki.</w:t>
      </w:r>
    </w:p>
    <w:p>
      <w:pPr>
        <w:numPr>
          <w:ilvl w:val="0"/>
          <w:numId w:val="1002"/>
        </w:numPr>
      </w:pPr>
      <w:r>
        <w:t xml:space="preserve">Waga analityczna i urządzenie antystatyczne.</w:t>
      </w:r>
    </w:p>
    <w:bookmarkEnd w:id="24"/>
    <w:bookmarkStart w:id="25" w:name="pozostałe"/>
    <w:p>
      <w:pPr>
        <w:pStyle w:val="Heading3"/>
      </w:pPr>
      <w:r>
        <w:t xml:space="preserve">Pozostałe</w:t>
      </w:r>
    </w:p>
    <w:p>
      <w:pPr>
        <w:numPr>
          <w:ilvl w:val="0"/>
          <w:numId w:val="1005"/>
        </w:numPr>
      </w:pPr>
      <w:r>
        <w:t xml:space="preserve">Falkony polietylenowe (PE)</w:t>
      </w:r>
      <w:r>
        <w:t xml:space="preserve"> </w:t>
      </w:r>
      <w:r>
        <w:rPr>
          <w:bCs/>
          <w:b/>
        </w:rPr>
        <w:t xml:space="preserve">50 ml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Zwykły plastik reaguje ze stężonym acetonem.</w:t>
      </w:r>
    </w:p>
    <w:p>
      <w:pPr>
        <w:numPr>
          <w:ilvl w:val="0"/>
          <w:numId w:val="1005"/>
        </w:numPr>
      </w:pPr>
      <w:r>
        <w:t xml:space="preserve">Próbówki z brązowego szkła z zakrętkami i membranami.</w:t>
      </w:r>
    </w:p>
    <w:p>
      <w:pPr>
        <w:numPr>
          <w:ilvl w:val="0"/>
          <w:numId w:val="1005"/>
        </w:numPr>
      </w:pPr>
      <w:r>
        <w:t xml:space="preserve">Folia aluminiowa.</w:t>
      </w:r>
    </w:p>
    <w:bookmarkEnd w:id="25"/>
    <w:bookmarkEnd w:id="26"/>
    <w:bookmarkStart w:id="27" w:name="przygotowanie-osadów"/>
    <w:p>
      <w:pPr>
        <w:pStyle w:val="Heading2"/>
      </w:pPr>
      <w:r>
        <w:t xml:space="preserve">Przygotowanie osadów</w:t>
      </w:r>
    </w:p>
    <w:p>
      <w:pPr>
        <w:numPr>
          <w:ilvl w:val="0"/>
          <w:numId w:val="1006"/>
        </w:numPr>
      </w:pPr>
      <w:r>
        <w:t xml:space="preserve">Suszenie w liofilizatorze.</w:t>
      </w:r>
    </w:p>
    <w:p>
      <w:pPr>
        <w:numPr>
          <w:ilvl w:val="0"/>
          <w:numId w:val="1006"/>
        </w:numPr>
      </w:pPr>
      <w:r>
        <w:t xml:space="preserve">Straty na prażeniu 550 (niekoniecznie, mamy cns?).</w:t>
      </w:r>
    </w:p>
    <w:p>
      <w:pPr>
        <w:numPr>
          <w:ilvl w:val="0"/>
          <w:numId w:val="1006"/>
        </w:numPr>
      </w:pPr>
      <w:r>
        <w:t xml:space="preserve">Umieścić w falkonach (PE).</w:t>
      </w:r>
    </w:p>
    <w:p>
      <w:pPr>
        <w:numPr>
          <w:ilvl w:val="0"/>
          <w:numId w:val="1006"/>
        </w:numPr>
      </w:pPr>
      <w:r>
        <w:t xml:space="preserve">Dodać aceton 100% (czystość HPLC).</w:t>
      </w:r>
    </w:p>
    <w:p>
      <w:pPr>
        <w:numPr>
          <w:ilvl w:val="0"/>
          <w:numId w:val="1006"/>
        </w:numPr>
      </w:pPr>
      <w:r>
        <w:t xml:space="preserve">Wymieszać z użyciem wytrząsarki typu vortex.</w:t>
      </w:r>
    </w:p>
    <w:p>
      <w:pPr>
        <w:numPr>
          <w:ilvl w:val="0"/>
          <w:numId w:val="1006"/>
        </w:numPr>
      </w:pPr>
      <w:r>
        <w:t xml:space="preserve">Umieścić w myjce ultradźwiękowej aby usunąć pęcherzyki powietrza.</w:t>
      </w:r>
    </w:p>
    <w:p>
      <w:pPr>
        <w:numPr>
          <w:ilvl w:val="0"/>
          <w:numId w:val="1006"/>
        </w:numPr>
      </w:pPr>
      <w:r>
        <w:t xml:space="preserve">Odwirować próbki w wirówce:</w:t>
      </w:r>
    </w:p>
    <w:p>
      <w:pPr>
        <w:numPr>
          <w:ilvl w:val="1"/>
          <w:numId w:val="1007"/>
        </w:numPr>
      </w:pPr>
      <w:r>
        <w:t xml:space="preserve">10 minut.</w:t>
      </w:r>
    </w:p>
    <w:p>
      <w:pPr>
        <w:numPr>
          <w:ilvl w:val="1"/>
          <w:numId w:val="1007"/>
        </w:numPr>
      </w:pPr>
      <w:r>
        <w:t xml:space="preserve">5000 RPM.</w:t>
      </w:r>
    </w:p>
    <w:bookmarkEnd w:id="27"/>
    <w:bookmarkStart w:id="28" w:name="ekstrakcja-pigmentów"/>
    <w:p>
      <w:pPr>
        <w:pStyle w:val="Heading2"/>
      </w:pPr>
      <w:r>
        <w:t xml:space="preserve">Ekstrakcja pigmentów</w:t>
      </w:r>
    </w:p>
    <w:bookmarkEnd w:id="28"/>
    <w:bookmarkStart w:id="29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09.12.2022, MZ – wersja inicjalna Quarto, procedura za: Andrea Sanchini i Giulia Wienhues (Uniwersytet w Bernie).</w:t>
      </w:r>
    </w:p>
    <w:p>
      <w:pPr>
        <w:pStyle w:val="BodyText"/>
      </w:pPr>
      <w:r>
        <w:t xml:space="preserve">Maurycy Żarczyński 2022-12-10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2022-12-10T18:46:54Z</dcterms:created>
  <dcterms:modified xsi:type="dcterms:W3CDTF">2022-12-10T18:46:54Z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