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ekstrakcja-sekwencyjna"/>
    <w:p>
      <w:pPr>
        <w:pStyle w:val="Heading1"/>
      </w:pPr>
      <w:r>
        <w:t xml:space="preserve">Ekstrakcja sekwencyjna</w:t>
      </w:r>
    </w:p>
    <w:bookmarkStart w:id="24" w:name="roztwory-ekstrahujące"/>
    <w:p>
      <w:pPr>
        <w:pStyle w:val="Heading2"/>
      </w:pPr>
      <w:r>
        <w:t xml:space="preserve">Roztwory ekstrahujące</w:t>
      </w:r>
    </w:p>
    <w:p>
      <w:pPr>
        <w:pStyle w:val="FirstParagraph"/>
      </w:pPr>
      <w:r>
        <w:rPr>
          <w:smallCaps/>
        </w:rPr>
        <w:t xml:space="preserve">Wszystkie odczynniki o czystości analitycznej (</w:t>
      </w:r>
      <w:r>
        <w:rPr>
          <w:iCs/>
          <w:i/>
          <w:smallCaps/>
        </w:rPr>
        <w:t xml:space="preserve">Ultrapure</w:t>
      </w:r>
      <w:r>
        <w:rPr>
          <w:smallCaps/>
        </w:rPr>
        <w:t xml:space="preserve">, cz. d. a.).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A</w:t>
      </w:r>
      <w:r>
        <w:t xml:space="preserve">:</w:t>
      </w:r>
      <w:r>
        <w:t xml:space="preserve"> </w:t>
      </w:r>
      <w:r>
        <w:rPr>
          <w:bCs/>
          <w:b/>
        </w:rPr>
        <w:t xml:space="preserve">0.11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25.0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lodowatego kwasu octowego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COOH</w:t>
      </w:r>
      <w:r>
        <w:rPr>
          <w:vertAlign w:val="subscript"/>
          <w:bCs/>
          <w:b/>
        </w:rPr>
        <w:t xml:space="preserve">bezw.</w:t>
      </w:r>
      <w:r>
        <w:rPr>
          <w:bCs/>
          <w:b/>
        </w:rPr>
        <w:t xml:space="preserve">)</w:t>
      </w:r>
      <w:r>
        <w:t xml:space="preserve"> </w:t>
      </w:r>
      <w:r>
        <w:t xml:space="preserve">dodać do</w:t>
      </w:r>
      <w:r>
        <w:t xml:space="preserve"> </w:t>
      </w:r>
      <w:r>
        <w:rPr>
          <w:bCs/>
          <w:b/>
        </w:rPr>
        <w:t xml:space="preserve">500.0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, wymieszać (</w:t>
      </w:r>
      <w:r>
        <w:rPr>
          <w:bCs/>
          <w:b/>
        </w:rPr>
        <w:t xml:space="preserve">C = 0.43 mol/dm</w:t>
      </w:r>
      <w:r>
        <w:rPr>
          <w:vertAlign w:val="superscript"/>
          <w:bCs/>
          <w:b/>
        </w:rPr>
        <w:t xml:space="preserve">3</w:t>
      </w:r>
      <w:r>
        <w:t xml:space="preserve">). Następnie rozcieńczyć go czterokrotnie (</w:t>
      </w:r>
      <w:r>
        <w:rPr>
          <w:bCs/>
          <w:b/>
        </w:rPr>
        <w:t xml:space="preserve">4</w:t>
      </w:r>
      <w:r>
        <w:t xml:space="preserve">). Otrzymany roztwór o stężeniu</w:t>
      </w:r>
      <w:r>
        <w:t xml:space="preserve"> </w:t>
      </w:r>
      <w:r>
        <w:rPr>
          <w:bCs/>
          <w:b/>
        </w:rPr>
        <w:t xml:space="preserve">C = 0.11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wykorzystać do ekstrakcji.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B</w:t>
      </w:r>
      <w:r>
        <w:t xml:space="preserve">:</w:t>
      </w:r>
      <w:r>
        <w:t xml:space="preserve"> </w:t>
      </w:r>
      <w:r>
        <w:rPr>
          <w:bCs/>
          <w:b/>
        </w:rPr>
        <w:t xml:space="preserve">0.05 mol 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6.95 g chlorowodorku hydroksyloaminy (NH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OH·HCl)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C</w:t>
      </w:r>
      <w:r>
        <w:t xml:space="preserve">:</w:t>
      </w:r>
      <w:r>
        <w:t xml:space="preserve"> </w:t>
      </w:r>
      <w:r>
        <w:rPr>
          <w:bCs/>
          <w:b/>
        </w:rPr>
        <w:t xml:space="preserve">8.8 mol 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(30%)</w:t>
      </w:r>
    </w:p>
    <w:p>
      <w:pPr>
        <w:numPr>
          <w:ilvl w:val="0"/>
          <w:numId w:val="1000"/>
        </w:numPr>
        <w:pStyle w:val="BlockText"/>
      </w:pPr>
      <w:r>
        <w:t xml:space="preserve">Roztwór</w:t>
      </w:r>
      <w:r>
        <w:t xml:space="preserve"> </w:t>
      </w: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8.8 mol/dm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(dostępny w handlu jako roztwór o stężeniu</w:t>
      </w:r>
      <w:r>
        <w:t xml:space="preserve"> </w:t>
      </w:r>
      <w:r>
        <w:rPr>
          <w:bCs/>
          <w:b/>
        </w:rPr>
        <w:t xml:space="preserve">30%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D</w:t>
      </w:r>
      <w:r>
        <w:t xml:space="preserve">:</w:t>
      </w:r>
      <w:r>
        <w:t xml:space="preserve"> </w:t>
      </w:r>
      <w:r>
        <w:rPr>
          <w:bCs/>
          <w:b/>
        </w:rPr>
        <w:t xml:space="preserve">1 mol 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2</w:t>
      </w:r>
    </w:p>
    <w:p>
      <w:pPr>
        <w:numPr>
          <w:ilvl w:val="0"/>
          <w:numId w:val="1000"/>
        </w:numPr>
        <w:pStyle w:val="BlockText"/>
      </w:pPr>
      <w:r>
        <w:t xml:space="preserve">Rozpuścić</w:t>
      </w:r>
      <w:r>
        <w:t xml:space="preserve"> </w:t>
      </w:r>
      <w:r>
        <w:rPr>
          <w:bCs/>
          <w:b/>
        </w:rPr>
        <w:t xml:space="preserve">77.1 g octanu amonu (CH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COONH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)</w:t>
      </w:r>
      <w:r>
        <w:t xml:space="preserve"> </w:t>
      </w:r>
      <w:r>
        <w:t xml:space="preserve">w</w:t>
      </w:r>
      <w:r>
        <w:t xml:space="preserve"> </w:t>
      </w:r>
      <w:r>
        <w:rPr>
          <w:bCs/>
          <w:b/>
        </w:rPr>
        <w:t xml:space="preserve">900.0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rPr>
          <w:bCs/>
          <w:b/>
        </w:rPr>
        <w:t xml:space="preserve">wody redestylowanej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 </w:t>
      </w:r>
      <w:r>
        <w:t xml:space="preserve">i zakwasić</w:t>
      </w:r>
      <w:r>
        <w:t xml:space="preserve"> </w:t>
      </w:r>
      <w:r>
        <w:rPr>
          <w:bCs/>
          <w:b/>
        </w:rPr>
        <w:t xml:space="preserve">stężonym kwasem azotowym (V)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pH = 2</w:t>
      </w:r>
      <w:r>
        <w:t xml:space="preserve">. Dopełnić do</w:t>
      </w:r>
      <w:r>
        <w:t xml:space="preserve"> </w:t>
      </w:r>
      <w:r>
        <w:rPr>
          <w:bCs/>
          <w:b/>
        </w:rPr>
        <w:t xml:space="preserve">1000.0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i wymieszać.</w:t>
      </w:r>
    </w:p>
    <w:p>
      <w:pPr>
        <w:numPr>
          <w:ilvl w:val="0"/>
          <w:numId w:val="1001"/>
        </w:numPr>
      </w:pPr>
      <w:r>
        <w:t xml:space="preserve">Roztwory do frakcji metali, związanych z glinokrzemianami: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azotowy (V) (HNO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Stężony</w:t>
      </w:r>
      <w:r>
        <w:t xml:space="preserve"> </w:t>
      </w:r>
      <w:r>
        <w:rPr>
          <w:bCs/>
          <w:b/>
        </w:rPr>
        <w:t xml:space="preserve">kwas fluorowodorowy (HF)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Roztwór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 </w:t>
      </w:r>
      <w:r>
        <w:t xml:space="preserve">o stężeniu</w:t>
      </w:r>
      <w:r>
        <w:t xml:space="preserve"> </w:t>
      </w:r>
      <w:r>
        <w:rPr>
          <w:bCs/>
          <w:b/>
        </w:rPr>
        <w:t xml:space="preserve">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bookmarkEnd w:id="24"/>
    <w:bookmarkStart w:id="29" w:name="ekstrakcja-sekwencyjna-1"/>
    <w:p>
      <w:pPr>
        <w:pStyle w:val="Heading2"/>
      </w:pPr>
      <w:r>
        <w:t xml:space="preserve">Ekstrakcja sekwencyjna</w:t>
      </w:r>
    </w:p>
    <w:p>
      <w:pPr>
        <w:numPr>
          <w:ilvl w:val="0"/>
          <w:numId w:val="1003"/>
        </w:numPr>
      </w:pPr>
      <w:r>
        <w:t xml:space="preserve">Odważyć z dokładnością</w:t>
      </w:r>
      <w:r>
        <w:t xml:space="preserve"> </w:t>
      </w:r>
      <w:r>
        <w:rPr>
          <w:bCs/>
          <w:b/>
        </w:rPr>
        <w:t xml:space="preserve">0.001 g</w:t>
      </w:r>
      <w:r>
        <w:t xml:space="preserve">, około</w:t>
      </w:r>
      <w:r>
        <w:t xml:space="preserve"> </w:t>
      </w:r>
      <w:r>
        <w:rPr>
          <w:bCs/>
          <w:b/>
        </w:rPr>
        <w:t xml:space="preserve">1.0 lub 0.5 g</w:t>
      </w:r>
      <w:r>
        <w:t xml:space="preserve"> </w:t>
      </w:r>
      <w:r>
        <w:t xml:space="preserve">osadu (w przeliczeniu na suchą masę).</w:t>
      </w:r>
    </w:p>
    <w:p>
      <w:pPr>
        <w:numPr>
          <w:ilvl w:val="0"/>
          <w:numId w:val="1003"/>
        </w:numPr>
      </w:pPr>
      <w:r>
        <w:t xml:space="preserve">Osad przenieść do próbówki</w:t>
      </w:r>
      <w:r>
        <w:t xml:space="preserve"> </w:t>
      </w:r>
      <w:r>
        <w:rPr>
          <w:bCs/>
          <w:b/>
        </w:rPr>
        <w:t xml:space="preserve">teflonowej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 każdej serii przygotować co najmniej</w:t>
      </w:r>
      <w:r>
        <w:t xml:space="preserve"> </w:t>
      </w:r>
      <w:r>
        <w:rPr>
          <w:bCs/>
          <w:b/>
        </w:rPr>
        <w:t xml:space="preserve">jedną próbę ślepą</w:t>
      </w:r>
      <w:r>
        <w:t xml:space="preserve"> </w:t>
      </w:r>
      <w:r>
        <w:t xml:space="preserve">z wykorzystaniem pustej próbówki.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Natychmiast</w:t>
      </w:r>
      <w:r>
        <w:t xml:space="preserve"> </w:t>
      </w:r>
      <w:r>
        <w:t xml:space="preserve">po ukończeniu jednego etapu należy przystąpić do kolejnego etapu ekstrakcji. Ekstrakcję próbek osadu i zawiesin dla uzyskania każdej z frakcji przeprowadza się w temperaturze pokojowej w ciągu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bookmarkStart w:id="25" w:name="frakcja-i"/>
    <w:p>
      <w:pPr>
        <w:pStyle w:val="Heading3"/>
      </w:pPr>
      <w:r>
        <w:t xml:space="preserve">Frakcja I</w:t>
      </w:r>
    </w:p>
    <w:p>
      <w:pPr>
        <w:pStyle w:val="FirstParagraph"/>
      </w:pPr>
      <w:r>
        <w:rPr>
          <w:bCs/>
          <w:b/>
        </w:rPr>
        <w:t xml:space="preserve">Jony metali zaadsorbowane na powierzchni osadu</w:t>
      </w:r>
    </w:p>
    <w:p>
      <w:pPr>
        <w:numPr>
          <w:ilvl w:val="0"/>
          <w:numId w:val="1004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A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4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Przechowywać w lodówce do czasu analizy.</w:t>
      </w:r>
    </w:p>
    <w:bookmarkEnd w:id="25"/>
    <w:bookmarkStart w:id="26" w:name="frakcja-ii"/>
    <w:p>
      <w:pPr>
        <w:pStyle w:val="Heading3"/>
      </w:pPr>
      <w:r>
        <w:t xml:space="preserve">Frakcja II</w:t>
      </w:r>
    </w:p>
    <w:p>
      <w:pPr>
        <w:pStyle w:val="FirstParagraph"/>
      </w:pPr>
      <w:r>
        <w:rPr>
          <w:bCs/>
          <w:b/>
        </w:rPr>
        <w:t xml:space="preserve">Jony metali związane z tlenkami i wodorotlenkami żelaza (III) i manganu (IV)</w:t>
      </w:r>
    </w:p>
    <w:p>
      <w:pPr>
        <w:numPr>
          <w:ilvl w:val="0"/>
          <w:numId w:val="1005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5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B</w:t>
      </w:r>
      <w:r>
        <w:t xml:space="preserve"> </w:t>
      </w:r>
      <w:r>
        <w:t xml:space="preserve">(przygotowanego</w:t>
      </w:r>
      <w:r>
        <w:t xml:space="preserve"> </w:t>
      </w:r>
      <w:r>
        <w:rPr>
          <w:bCs/>
          <w:b/>
        </w:rPr>
        <w:t xml:space="preserve">w dniu ekstrakcji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5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Przechowywać w lodówce do czasu analizy.</w:t>
      </w:r>
    </w:p>
    <w:bookmarkEnd w:id="26"/>
    <w:bookmarkStart w:id="27" w:name="frakcja-iii"/>
    <w:p>
      <w:pPr>
        <w:pStyle w:val="Heading3"/>
      </w:pPr>
      <w:r>
        <w:t xml:space="preserve">Frakcja III</w:t>
      </w:r>
    </w:p>
    <w:p>
      <w:pPr>
        <w:pStyle w:val="FirstParagraph"/>
      </w:pPr>
      <w:r>
        <w:rPr>
          <w:bCs/>
          <w:b/>
        </w:rPr>
        <w:t xml:space="preserve">Jony metali związane z materią organiczną</w:t>
      </w:r>
    </w:p>
    <w:p>
      <w:pPr>
        <w:numPr>
          <w:ilvl w:val="0"/>
          <w:numId w:val="1006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6"/>
        </w:numPr>
      </w:pPr>
      <w:r>
        <w:t xml:space="preserve">Dodawać powoli, małymi porcjami</w:t>
      </w:r>
      <w:r>
        <w:t xml:space="preserve"> </w:t>
      </w:r>
      <w:r>
        <w:rPr>
          <w:bCs/>
          <w:b/>
        </w:rPr>
        <w:t xml:space="preserve">roztwór C</w:t>
      </w:r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Reakcja zachodzi</w:t>
      </w:r>
      <w:r>
        <w:t xml:space="preserve"> </w:t>
      </w:r>
      <w:r>
        <w:rPr>
          <w:bCs/>
          <w:b/>
        </w:rPr>
        <w:t xml:space="preserve">wyjątkowo</w:t>
      </w:r>
      <w:r>
        <w:t xml:space="preserve"> </w:t>
      </w:r>
      <w:r>
        <w:rPr>
          <w:bCs/>
          <w:b/>
        </w:rPr>
        <w:t xml:space="preserve">burzliwie</w:t>
      </w:r>
      <w:r>
        <w:t xml:space="preserve">. Próbówka może wymagać wielokrotnego obstukiwania w celu zagaszenia gwałtownej reakcji. Do momentu uspokojenia reakcji należy</w:t>
      </w:r>
      <w:r>
        <w:t xml:space="preserve"> </w:t>
      </w:r>
      <w:r>
        <w:rPr>
          <w:bCs/>
          <w:b/>
        </w:rPr>
        <w:t xml:space="preserve">obserwować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kontrolować</w:t>
      </w:r>
      <w:r>
        <w:t xml:space="preserve"> </w:t>
      </w:r>
      <w:r>
        <w:t xml:space="preserve">próbówki.</w:t>
      </w:r>
    </w:p>
    <w:p>
      <w:pPr>
        <w:numPr>
          <w:ilvl w:val="0"/>
          <w:numId w:val="1006"/>
        </w:numPr>
      </w:pPr>
      <w:r>
        <w:t xml:space="preserve">Pozostawić na dobę</w:t>
      </w:r>
      <w:r>
        <w:t xml:space="preserve"> </w:t>
      </w:r>
      <w:r>
        <w:rPr>
          <w:bCs/>
          <w:b/>
        </w:rPr>
        <w:t xml:space="preserve">w temperaturze pokojowej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1 godzinę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85 °C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Odparować roztwór.</w:t>
      </w:r>
    </w:p>
    <w:p>
      <w:pPr>
        <w:numPr>
          <w:ilvl w:val="0"/>
          <w:numId w:val="1006"/>
        </w:numPr>
      </w:pPr>
      <w:r>
        <w:t xml:space="preserve">Do pozostałości dodać</w:t>
      </w:r>
      <w:r>
        <w:t xml:space="preserve"> </w:t>
      </w:r>
      <w:r>
        <w:rPr>
          <w:bCs/>
          <w:b/>
        </w:rPr>
        <w:t xml:space="preserve">10.0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roztworu D.</w:t>
      </w:r>
    </w:p>
    <w:p>
      <w:pPr>
        <w:numPr>
          <w:ilvl w:val="0"/>
          <w:numId w:val="1006"/>
        </w:numPr>
      </w:pPr>
      <w:r>
        <w:t xml:space="preserve">Wytrząsać przez</w:t>
      </w:r>
      <w:r>
        <w:t xml:space="preserve"> </w:t>
      </w:r>
      <w:r>
        <w:rPr>
          <w:bCs/>
          <w:b/>
        </w:rPr>
        <w:t xml:space="preserve">16 godzin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Odwirować przez</w:t>
      </w:r>
      <w:r>
        <w:t xml:space="preserve"> </w:t>
      </w:r>
      <w:r>
        <w:rPr>
          <w:bCs/>
          <w:b/>
        </w:rPr>
        <w:t xml:space="preserve">15 minut</w:t>
      </w:r>
      <w:r>
        <w:t xml:space="preserve"> </w:t>
      </w:r>
      <w:r>
        <w:t xml:space="preserve">w wirówce typu</w:t>
      </w:r>
      <w:r>
        <w:t xml:space="preserve"> </w:t>
      </w:r>
      <w:r>
        <w:rPr>
          <w:bCs/>
          <w:b/>
        </w:rPr>
        <w:t xml:space="preserve">MPW-340</w:t>
      </w:r>
      <w:r>
        <w:t xml:space="preserve"> </w:t>
      </w:r>
      <w:r>
        <w:t xml:space="preserve">przy</w:t>
      </w:r>
      <w:r>
        <w:t xml:space="preserve"> </w:t>
      </w:r>
      <w:r>
        <w:rPr>
          <w:bCs/>
          <w:b/>
        </w:rPr>
        <w:t xml:space="preserve">3500 RPM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Roztwór zdekantować i przenieść do opisanych</w:t>
      </w:r>
      <w:r>
        <w:t xml:space="preserve"> </w:t>
      </w:r>
      <w:r>
        <w:rPr>
          <w:bCs/>
          <w:b/>
        </w:rPr>
        <w:t xml:space="preserve">próbówek polietylenowych</w:t>
      </w:r>
      <w:r>
        <w:t xml:space="preserve"> </w:t>
      </w:r>
      <w:r>
        <w:t xml:space="preserve">(PE).</w:t>
      </w:r>
    </w:p>
    <w:p>
      <w:pPr>
        <w:numPr>
          <w:ilvl w:val="0"/>
          <w:numId w:val="1006"/>
        </w:numPr>
      </w:pPr>
      <w:r>
        <w:t xml:space="preserve">Do przygotowanego roztworu</w:t>
      </w:r>
      <w:r>
        <w:t xml:space="preserve"> </w:t>
      </w:r>
      <w:r>
        <w:rPr>
          <w:bCs/>
          <w:b/>
        </w:rPr>
        <w:t xml:space="preserve">frakcji III</w:t>
      </w:r>
      <w:r>
        <w:t xml:space="preserve"> </w:t>
      </w:r>
      <w:r>
        <w:t xml:space="preserve">dodać</w:t>
      </w:r>
      <w:r>
        <w:t xml:space="preserve"> </w:t>
      </w:r>
      <w:r>
        <w:rPr>
          <w:bCs/>
          <w:b/>
        </w:rPr>
        <w:t xml:space="preserve">100 μl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Przechowywać w lodówce do czasu analizy.</w:t>
      </w:r>
    </w:p>
    <w:bookmarkEnd w:id="27"/>
    <w:bookmarkStart w:id="28" w:name="frakcja-iv"/>
    <w:p>
      <w:pPr>
        <w:pStyle w:val="Heading3"/>
      </w:pPr>
      <w:r>
        <w:t xml:space="preserve">Frakcja IV</w:t>
      </w:r>
    </w:p>
    <w:p>
      <w:pPr>
        <w:pStyle w:val="FirstParagraph"/>
      </w:pPr>
      <w:r>
        <w:rPr>
          <w:bCs/>
          <w:b/>
        </w:rPr>
        <w:t xml:space="preserve">Jony wbudowane w siatkę krystaliczną glinokrzemianów; frakcja rezydualna</w:t>
      </w:r>
    </w:p>
    <w:p>
      <w:pPr>
        <w:numPr>
          <w:ilvl w:val="0"/>
          <w:numId w:val="1007"/>
        </w:numPr>
      </w:pPr>
      <w:r>
        <w:t xml:space="preserve">Pozostały w próbówce osad przemyć</w:t>
      </w:r>
      <w:r>
        <w:t xml:space="preserve"> </w:t>
      </w:r>
      <w:r>
        <w:rPr>
          <w:bCs/>
          <w:b/>
        </w:rPr>
        <w:t xml:space="preserve">wodą redestylowaną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, zdekantować i odrzucić roztwór wodny.</w:t>
      </w:r>
    </w:p>
    <w:p>
      <w:pPr>
        <w:numPr>
          <w:ilvl w:val="0"/>
          <w:numId w:val="1007"/>
        </w:numPr>
      </w:pPr>
      <w:r>
        <w:t xml:space="preserve">Do pozostałości dodać: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azotowego (V)</w:t>
      </w:r>
      <w:r>
        <w:t xml:space="preserve">.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kwasu fluorowodorowego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Ogrzewać w bloku grzewczym 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 </w:t>
      </w:r>
      <w:r>
        <w:t xml:space="preserve">w temperaturze</w:t>
      </w:r>
      <w:r>
        <w:t xml:space="preserve"> </w:t>
      </w:r>
      <w:r>
        <w:rPr>
          <w:bCs/>
          <w:b/>
        </w:rPr>
        <w:t xml:space="preserve">120 °C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Odparować do sucha.</w:t>
      </w:r>
    </w:p>
    <w:p>
      <w:pPr>
        <w:numPr>
          <w:ilvl w:val="0"/>
          <w:numId w:val="1007"/>
        </w:numPr>
      </w:pPr>
      <w:r>
        <w:t xml:space="preserve">Suchą pozostałość przenieść ilościowo do probówki polietylenowej przy pomocy</w:t>
      </w:r>
      <w:r>
        <w:t xml:space="preserve"> </w:t>
      </w:r>
      <w:r>
        <w:rPr>
          <w:bCs/>
          <w:b/>
        </w:rPr>
        <w:t xml:space="preserve">kwasu azotowego o stężeniu C = 0.1 mol/dm</w:t>
      </w:r>
      <w:r>
        <w:rPr>
          <w:vertAlign w:val="superscript"/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Przechowywać w lodówce do czasu analizy.</w:t>
      </w:r>
    </w:p>
    <w:bookmarkEnd w:id="28"/>
    <w:bookmarkEnd w:id="29"/>
    <w:bookmarkStart w:id="30" w:name="oznaczenie-koncentracji-w-osadach"/>
    <w:p>
      <w:pPr>
        <w:pStyle w:val="Heading2"/>
      </w:pPr>
      <w:r>
        <w:t xml:space="preserve">Oznaczenie koncentracji w osadach</w:t>
      </w:r>
    </w:p>
    <w:p>
      <w:pPr>
        <w:pStyle w:val="FirstParagraph"/>
      </w:pPr>
      <w:r>
        <w:t xml:space="preserve">Stężenia metali w poszczególnych frakcjach oznacza się metodą</w:t>
      </w:r>
      <w:r>
        <w:t xml:space="preserve"> </w:t>
      </w:r>
      <w:r>
        <w:rPr>
          <w:bCs/>
          <w:b/>
        </w:rPr>
        <w:t xml:space="preserve">Absorbcyjnej spektrometrii atomowej</w:t>
      </w:r>
      <w:r>
        <w:t xml:space="preserve"> </w:t>
      </w:r>
      <w:r>
        <w:t xml:space="preserve">(ASA;</w:t>
      </w:r>
      <w:r>
        <w:t xml:space="preserve"> </w:t>
      </w:r>
      <w:r>
        <w:rPr>
          <w:iCs/>
          <w:i/>
        </w:rPr>
        <w:t xml:space="preserve">Atomic absorption spectroscopy (AAS)</w:t>
      </w:r>
      <w:r>
        <w:t xml:space="preserve">). We współpracy z IO PAN w Sopocie wykorzystujemy spektrometr AA-6800 (Shimadzu) z podajnikiem próbek ASC-6100. AAS stosuje się technikę płomieniową (płomień: acetylen-powietrze) oraz system korekcji tła (lampę deuterową). Przed rozpoczęciem oznaczania stężeń roztwory odpowiednio rozcieńczono, przygotowując do właściwych pomiarów absorbancji na AAS.</w:t>
      </w:r>
    </w:p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za: Jolanta Walkusz-Miotk 2022-12-09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2022-12-10T01:25:24Z</dcterms:created>
  <dcterms:modified xsi:type="dcterms:W3CDTF">2022-12-10T01:25:24Z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