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7" w:name="przygotowanie-preparatów-rozmazowych"/>
    <w:p>
      <w:pPr>
        <w:pStyle w:val="Heading1"/>
      </w:pPr>
      <w:r>
        <w:t xml:space="preserve">Przygotowanie preparatów rozmazowych</w:t>
      </w:r>
    </w:p>
    <w:p>
      <w:pPr>
        <w:pStyle w:val="BlockText"/>
      </w:pPr>
      <w:r>
        <w:rPr>
          <w:smallCaps/>
        </w:rPr>
        <w:t xml:space="preserve">Nie patrzeć bezpośrednio w źródło promieniowania UV. Wiązanie zachodzi z obudowanej skrzyni z lampą uv.</w:t>
      </w:r>
    </w:p>
    <w:p>
      <w:pPr>
        <w:pStyle w:val="BlockText"/>
      </w:pPr>
      <w:r>
        <w:rPr>
          <w:smallCaps/>
        </w:rPr>
        <w:t xml:space="preserve">Unikać kontaktu skóry z klejem Drei Bond. Pracować w rękawiczkach, po skończeniu pracy dokładnie umyć ręce.</w:t>
      </w:r>
    </w:p>
    <w:bookmarkStart w:id="24" w:name="przygotowanie-stanowiska"/>
    <w:p>
      <w:pPr>
        <w:pStyle w:val="Heading3"/>
      </w:pPr>
      <w:r>
        <w:t xml:space="preserve">Przygotowanie stanowiska</w:t>
      </w:r>
    </w:p>
    <w:p>
      <w:pPr>
        <w:numPr>
          <w:ilvl w:val="0"/>
          <w:numId w:val="1001"/>
        </w:numPr>
      </w:pPr>
      <w:r>
        <w:t xml:space="preserve">Ustalić regularne interwały poboru próbek, w zależności od długości rdzenia, z uwzględnieniem dodatkowych próbek z miejsc charakterystycznych (np. próbka z laminy jasnej i ciemnej).</w:t>
      </w:r>
    </w:p>
    <w:p>
      <w:pPr>
        <w:numPr>
          <w:ilvl w:val="0"/>
          <w:numId w:val="1001"/>
        </w:numPr>
      </w:pPr>
      <w:r>
        <w:t xml:space="preserve">Przygotować:</w:t>
      </w:r>
    </w:p>
    <w:p>
      <w:pPr>
        <w:numPr>
          <w:ilvl w:val="1"/>
          <w:numId w:val="1002"/>
        </w:numPr>
      </w:pPr>
      <w:r>
        <w:t xml:space="preserve">Szkiełka podstawowe.</w:t>
      </w:r>
    </w:p>
    <w:p>
      <w:pPr>
        <w:numPr>
          <w:ilvl w:val="1"/>
          <w:numId w:val="1002"/>
        </w:numPr>
      </w:pPr>
      <w:r>
        <w:t xml:space="preserve">Szkiełka nakrywkowe.</w:t>
      </w:r>
    </w:p>
    <w:p>
      <w:pPr>
        <w:numPr>
          <w:ilvl w:val="1"/>
          <w:numId w:val="1002"/>
        </w:numPr>
      </w:pPr>
      <w:r>
        <w:t xml:space="preserve">Wodę dejonizowaną.</w:t>
      </w:r>
    </w:p>
    <w:p>
      <w:pPr>
        <w:numPr>
          <w:ilvl w:val="1"/>
          <w:numId w:val="1002"/>
        </w:numPr>
      </w:pPr>
      <w:r>
        <w:t xml:space="preserve">Alkohol etylowy.</w:t>
      </w:r>
    </w:p>
    <w:p>
      <w:pPr>
        <w:numPr>
          <w:ilvl w:val="1"/>
          <w:numId w:val="1002"/>
        </w:numPr>
      </w:pPr>
      <w:r>
        <w:t xml:space="preserve">Klej światłoutwardzalny</w:t>
      </w:r>
      <w:r>
        <w:t xml:space="preserve"> </w:t>
      </w:r>
      <w:r>
        <w:rPr>
          <w:bCs/>
          <w:b/>
        </w:rPr>
        <w:t xml:space="preserve">Drei Bond 6020</w:t>
      </w:r>
      <w:r>
        <w:t xml:space="preserve"> </w:t>
      </w:r>
      <w:r>
        <w:t xml:space="preserve">(gęstszy) oraz</w:t>
      </w:r>
      <w:r>
        <w:t xml:space="preserve"> </w:t>
      </w:r>
      <w:r>
        <w:rPr>
          <w:bCs/>
          <w:b/>
        </w:rPr>
        <w:t xml:space="preserve">6023</w:t>
      </w:r>
      <w:r>
        <w:t xml:space="preserve"> </w:t>
      </w:r>
      <w:r>
        <w:t xml:space="preserve">(rzadszy).</w:t>
      </w:r>
    </w:p>
    <w:p>
      <w:pPr>
        <w:numPr>
          <w:ilvl w:val="1"/>
          <w:numId w:val="1002"/>
        </w:numPr>
      </w:pPr>
      <w:r>
        <w:t xml:space="preserve">Szpatułkę.</w:t>
      </w:r>
    </w:p>
    <w:p>
      <w:pPr>
        <w:numPr>
          <w:ilvl w:val="1"/>
          <w:numId w:val="1002"/>
        </w:numPr>
      </w:pPr>
      <w:r>
        <w:t xml:space="preserve">Pęsetę.</w:t>
      </w:r>
    </w:p>
    <w:p>
      <w:pPr>
        <w:numPr>
          <w:ilvl w:val="1"/>
          <w:numId w:val="1002"/>
        </w:numPr>
      </w:pPr>
      <w:r>
        <w:t xml:space="preserve">Etykiety.</w:t>
      </w:r>
    </w:p>
    <w:p>
      <w:pPr>
        <w:numPr>
          <w:ilvl w:val="1"/>
          <w:numId w:val="1002"/>
        </w:numPr>
      </w:pPr>
      <w:r>
        <w:t xml:space="preserve">Etui kartonowe na preparaty.</w:t>
      </w:r>
    </w:p>
    <w:p>
      <w:pPr>
        <w:numPr>
          <w:ilvl w:val="1"/>
          <w:numId w:val="1002"/>
        </w:numPr>
      </w:pPr>
      <w:r>
        <w:t xml:space="preserve">Płytę grzejną.</w:t>
      </w:r>
    </w:p>
    <w:p>
      <w:pPr>
        <w:numPr>
          <w:ilvl w:val="1"/>
          <w:numId w:val="1002"/>
        </w:numPr>
      </w:pPr>
      <w:r>
        <w:t xml:space="preserve">Źródło promieniowania UV.</w:t>
      </w:r>
    </w:p>
    <w:p>
      <w:pPr>
        <w:numPr>
          <w:ilvl w:val="0"/>
          <w:numId w:val="1001"/>
        </w:numPr>
      </w:pPr>
      <w:r>
        <w:t xml:space="preserve">Szkiełka podstawowe należy umyć wodą lub alkoholem, a następnie dokładnie wytrzeć. Podpisać etykietę na szkiełku podstawowym wg schematu:</w:t>
      </w:r>
    </w:p>
    <w:p>
      <w:pPr>
        <w:numPr>
          <w:ilvl w:val="1"/>
          <w:numId w:val="1003"/>
        </w:numPr>
      </w:pPr>
      <w:r>
        <w:t xml:space="preserve">Rdzeń:</w:t>
      </w:r>
      <w:r>
        <w:t xml:space="preserve"> </w:t>
      </w:r>
      <w:r>
        <w:rPr>
          <w:rStyle w:val="VerbatimChar"/>
        </w:rPr>
        <w:t xml:space="preserve">JJJ-RR/N–S XX</w:t>
      </w:r>
      <w:r>
        <w:t xml:space="preserve">: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JJJ</w:t>
      </w:r>
      <w:r>
        <w:t xml:space="preserve">: stanowisko,</w:t>
      </w:r>
      <w:r>
        <w:t xml:space="preserve"> </w:t>
      </w:r>
      <w:r>
        <w:rPr>
          <w:bCs/>
          <w:b/>
        </w:rPr>
        <w:t xml:space="preserve">RR</w:t>
      </w:r>
      <w:r>
        <w:t xml:space="preserve">: rok poboru,</w:t>
      </w:r>
      <w:r>
        <w:t xml:space="preserve"> </w:t>
      </w:r>
      <w:r>
        <w:rPr>
          <w:bCs/>
          <w:b/>
        </w:rPr>
        <w:t xml:space="preserve">N</w:t>
      </w:r>
      <w:r>
        <w:t xml:space="preserve">: nr rdzenia,</w:t>
      </w:r>
      <w:r>
        <w:t xml:space="preserve"> </w:t>
      </w:r>
      <w:r>
        <w:rPr>
          <w:bCs/>
          <w:b/>
        </w:rPr>
        <w:t xml:space="preserve">S</w:t>
      </w:r>
      <w:r>
        <w:t xml:space="preserve">: nr sekcji,</w:t>
      </w:r>
      <w:r>
        <w:t xml:space="preserve"> </w:t>
      </w:r>
      <w:r>
        <w:rPr>
          <w:bCs/>
          <w:b/>
        </w:rPr>
        <w:t xml:space="preserve">XX</w:t>
      </w:r>
      <w:r>
        <w:t xml:space="preserve">: odległość od stropu w danej sekcji.</w:t>
      </w:r>
    </w:p>
    <w:p>
      <w:pPr>
        <w:numPr>
          <w:ilvl w:val="1"/>
          <w:numId w:val="1000"/>
        </w:numPr>
      </w:pPr>
      <w:r>
        <w:t xml:space="preserve">Jeśli pobierana jest próbka z laminy jasnej i ciemnej na jedno szkiełko podstawowe, opisać dodatkowo uwagi lub przyczyny wykonania danej próbki w dokumentacji (np. tefra, barwa, wcześniejsze potraktowanie osadu HCl).</w:t>
      </w:r>
    </w:p>
    <w:p>
      <w:pPr>
        <w:numPr>
          <w:ilvl w:val="1"/>
          <w:numId w:val="1003"/>
        </w:numPr>
      </w:pPr>
      <w:r>
        <w:t xml:space="preserve">Materiał z pułapki sedymentacyjnej:</w:t>
      </w:r>
      <w:r>
        <w:t xml:space="preserve"> </w:t>
      </w:r>
      <w:r>
        <w:rPr>
          <w:rStyle w:val="VerbatimChar"/>
        </w:rPr>
        <w:t xml:space="preserve">JJJ RRRR-MM-DD TYP</w:t>
      </w:r>
      <w:r>
        <w:t xml:space="preserve">: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JJJ</w:t>
      </w:r>
      <w:r>
        <w:t xml:space="preserve">: stanowisko,</w:t>
      </w:r>
      <w:r>
        <w:t xml:space="preserve"> </w:t>
      </w:r>
      <w:r>
        <w:rPr>
          <w:bCs/>
          <w:b/>
        </w:rPr>
        <w:t xml:space="preserve">RRRR</w:t>
      </w:r>
      <w:r>
        <w:t xml:space="preserve">: rok,</w:t>
      </w:r>
      <w:r>
        <w:t xml:space="preserve"> </w:t>
      </w:r>
      <w:r>
        <w:rPr>
          <w:bCs/>
          <w:b/>
        </w:rPr>
        <w:t xml:space="preserve">MM</w:t>
      </w:r>
      <w:r>
        <w:t xml:space="preserve">: miesiąc,</w:t>
      </w:r>
      <w:r>
        <w:t xml:space="preserve"> </w:t>
      </w:r>
      <w:r>
        <w:rPr>
          <w:bCs/>
          <w:b/>
        </w:rPr>
        <w:t xml:space="preserve">DD</w:t>
      </w:r>
      <w:r>
        <w:t xml:space="preserve">: dzień,</w:t>
      </w:r>
      <w:r>
        <w:t xml:space="preserve"> </w:t>
      </w:r>
      <w:r>
        <w:rPr>
          <w:bCs/>
          <w:b/>
        </w:rPr>
        <w:t xml:space="preserve">TYP</w:t>
      </w:r>
      <w:r>
        <w:t xml:space="preserve">:</w:t>
      </w:r>
      <w:r>
        <w:t xml:space="preserve"> </w:t>
      </w:r>
      <w:r>
        <w:rPr>
          <w:bCs/>
          <w:b/>
        </w:rPr>
        <w:t xml:space="preserve">H</w:t>
      </w:r>
      <w:r>
        <w:t xml:space="preserve"> </w:t>
      </w:r>
      <w:r>
        <w:t xml:space="preserve">(hypolimnion) lub</w:t>
      </w:r>
      <w:r>
        <w:t xml:space="preserve"> </w:t>
      </w:r>
      <w:r>
        <w:rPr>
          <w:bCs/>
          <w:b/>
        </w:rPr>
        <w:t xml:space="preserve">M</w:t>
      </w:r>
      <w:r>
        <w:t xml:space="preserve"> </w:t>
      </w:r>
      <w:r>
        <w:t xml:space="preserve">(metalimnion).</w:t>
      </w:r>
    </w:p>
    <w:bookmarkEnd w:id="24"/>
    <w:bookmarkStart w:id="25" w:name="przygotowanie-preparatu"/>
    <w:p>
      <w:pPr>
        <w:pStyle w:val="Heading2"/>
      </w:pPr>
      <w:r>
        <w:t xml:space="preserve">Przygotowanie preparatu</w:t>
      </w:r>
    </w:p>
    <w:p>
      <w:pPr>
        <w:numPr>
          <w:ilvl w:val="0"/>
          <w:numId w:val="1004"/>
        </w:numPr>
      </w:pPr>
      <w:r>
        <w:t xml:space="preserve">Za pomocą szpatułki pobrać niewielką ilość osadu i umieścić na szkiełku podstawowym.</w:t>
      </w:r>
    </w:p>
    <w:p>
      <w:pPr>
        <w:numPr>
          <w:ilvl w:val="0"/>
          <w:numId w:val="1000"/>
        </w:numPr>
      </w:pPr>
      <w:r>
        <w:t xml:space="preserve">Materiał powinien być rozłożony równomiernie, unikając zagęszczenia, ponieważ utrudni to analizę preparatu.</w:t>
      </w:r>
    </w:p>
    <w:p>
      <w:pPr>
        <w:numPr>
          <w:ilvl w:val="0"/>
          <w:numId w:val="1004"/>
        </w:numPr>
      </w:pPr>
      <w:r>
        <w:t xml:space="preserve">Do osadu umieszczonego na szkiełku dodać za pomocą pipety kroplę wody dejonizowanej lub alkoholu. Rozprowadzić osad dokładnie przy pomocy szpatułki lub wykałaczki.</w:t>
      </w:r>
    </w:p>
    <w:p>
      <w:pPr>
        <w:numPr>
          <w:ilvl w:val="0"/>
          <w:numId w:val="1004"/>
        </w:numPr>
      </w:pPr>
      <w:r>
        <w:t xml:space="preserve">Na płycie grzejnej rozgrzanej do</w:t>
      </w:r>
      <w:r>
        <w:t xml:space="preserve"> </w:t>
      </w:r>
      <w:r>
        <w:rPr>
          <w:bCs/>
          <w:b/>
        </w:rPr>
        <w:t xml:space="preserve">60–70 °C</w:t>
      </w:r>
      <w:r>
        <w:t xml:space="preserve"> </w:t>
      </w:r>
      <w:r>
        <w:t xml:space="preserve">umieścić szkiełko podstawowe. Pozostawić do momentu, aż woda całkowicie odparuje, a osad będzie zupełnie suchy: około</w:t>
      </w:r>
      <w:r>
        <w:t xml:space="preserve"> </w:t>
      </w:r>
      <w:r>
        <w:rPr>
          <w:bCs/>
          <w:b/>
        </w:rPr>
        <w:t xml:space="preserve">2–5 minut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Zdjąć szkiełko podstawowe z płyty grzejnej, na wysuszony osad dodać kroplę</w:t>
      </w:r>
      <w:r>
        <w:t xml:space="preserve"> </w:t>
      </w:r>
      <w:r>
        <w:rPr>
          <w:bCs/>
          <w:b/>
        </w:rPr>
        <w:t xml:space="preserve">Drei Bond</w:t>
      </w:r>
      <w:r>
        <w:t xml:space="preserve"> </w:t>
      </w:r>
      <w:r>
        <w:t xml:space="preserve">i przy pomocy pęsety delikatnie nałożyć na wierzch szkiełko nakrywkowe.</w:t>
      </w:r>
    </w:p>
    <w:p>
      <w:pPr>
        <w:numPr>
          <w:ilvl w:val="0"/>
          <w:numId w:val="1004"/>
        </w:numPr>
      </w:pPr>
      <w:r>
        <w:t xml:space="preserve">Umieścić preparat w etui kartonowym lub na tekturze i poddać działaniu</w:t>
      </w:r>
      <w:r>
        <w:t xml:space="preserve"> </w:t>
      </w:r>
      <w:r>
        <w:rPr>
          <w:bCs/>
          <w:b/>
        </w:rPr>
        <w:t xml:space="preserve">promieniowania UV</w:t>
      </w:r>
      <w:r>
        <w:t xml:space="preserve"> </w:t>
      </w:r>
      <w:r>
        <w:t xml:space="preserve">przez około</w:t>
      </w:r>
      <w:r>
        <w:t xml:space="preserve"> </w:t>
      </w:r>
      <w:r>
        <w:rPr>
          <w:bCs/>
          <w:b/>
        </w:rPr>
        <w:t xml:space="preserve">1–2 minuty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Na koniec należy sprawdzić, czy szkiełko nakrywkowe zostało prawidłowo przyklejone.</w:t>
      </w:r>
    </w:p>
    <w:p>
      <w:pPr>
        <w:numPr>
          <w:ilvl w:val="0"/>
          <w:numId w:val="1004"/>
        </w:numPr>
      </w:pPr>
      <w:r>
        <w:t xml:space="preserve">Preparaty należy przechowywać w przeznaczonych do tego celu opakowaniach.</w:t>
      </w:r>
    </w:p>
    <w:bookmarkEnd w:id="25"/>
    <w:bookmarkStart w:id="26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03.12.2022, MZ – wersja inicjalna Quarto. Rozwinięcie treści.</w:t>
      </w:r>
    </w:p>
    <w:p>
      <w:pPr>
        <w:pStyle w:val="BodyText"/>
      </w:pPr>
      <w:r>
        <w:t xml:space="preserve">Karolina Molisak, Maurycy Żarczyński 2022-12-06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2022-12-06T19:11:42Z</dcterms:created>
  <dcterms:modified xsi:type="dcterms:W3CDTF">2022-12-06T19:11:42Z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