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0" w:lastRow="0" w:firstColumn="0" w:lastColumn="0" w:noHBand="0" w:noVBand="0" w:val="0000"/>
      </w:tblPr>
      <w:tblGrid>
        <w:gridCol w:w="7920"/>
      </w:tblGrid>
      <w:tr>
        <w:tc>
          <w:tcPr/>
          <w:p>
            <w:pPr>
              <w:jc w:val="left"/>
            </w:pPr>
            <w:hyperlink r:id="rId23">
              <w:r>
                <w:drawing>
                  <wp:inline>
                    <wp:extent cx="1428750" cy="582083"/>
                    <wp:effectExtent b="0" l="0" r="0" t="0"/>
                    <wp:docPr descr="" title="" id="21" name="Picture"/>
                    <a:graphic>
                      <a:graphicData uri="http://schemas.openxmlformats.org/drawingml/2006/picture">
                        <pic:pic>
                          <pic:nvPicPr>
                            <pic:cNvPr descr="images/log-ug_pl.png" id="22" name="Picture"/>
                            <pic:cNvPicPr>
                              <a:picLocks noChangeArrowheads="1" noChangeAspect="1"/>
                            </pic:cNvPicPr>
                          </pic:nvPicPr>
                          <pic:blipFill>
                            <a:blip r:embed="rId20"/>
                            <a:stretch>
                              <a:fillRect/>
                            </a:stretch>
                          </pic:blipFill>
                          <pic:spPr bwMode="auto">
                            <a:xfrm>
                              <a:off x="0" y="0"/>
                              <a:ext cx="1428750" cy="582083"/>
                            </a:xfrm>
                            <a:prstGeom prst="rect">
                              <a:avLst/>
                            </a:prstGeom>
                            <a:noFill/>
                            <a:ln w="9525">
                              <a:noFill/>
                              <a:headEnd/>
                              <a:tailEnd/>
                            </a:ln>
                          </pic:spPr>
                        </pic:pic>
                      </a:graphicData>
                    </a:graphic>
                  </wp:inline>
                </w:drawing>
              </w:r>
            </w:hyperlink>
          </w:p>
          <w:p>
            <w:pPr>
              <w:jc w:val="left"/>
            </w:pPr>
            <w:pPr>
              <w:jc w:val="start"/>
              <w:spacing w:before="200"/>
              <w:pStyle w:val="ImageCaption"/>
            </w:pPr>
          </w:p>
        </w:tc>
      </w:tr>
    </w:tbl>
    <w:p>
      <w:pPr>
        <w:pStyle w:val="BodyText"/>
      </w:pPr>
      <w:r>
        <w:t xml:space="preserve">Zakład Geomorfologii i Geologii Czwartorzędu — PROCEDURA</w:t>
      </w:r>
    </w:p>
    <w:p>
      <w:r>
        <w:pict>
          <v:rect style="width:0;height:1.5pt" o:hralign="center" o:hrstd="t" o:hr="t"/>
        </w:pict>
      </w:r>
    </w:p>
    <w:bookmarkStart w:id="28" w:name="skanowanie-cienkich-szlifów"/>
    <w:p>
      <w:pPr>
        <w:pStyle w:val="Heading1"/>
      </w:pPr>
      <w:r>
        <w:t xml:space="preserve">Skanowanie cienkich szlifów</w:t>
      </w:r>
    </w:p>
    <w:bookmarkStart w:id="24" w:name="przygotowanie-do-pracy"/>
    <w:p>
      <w:pPr>
        <w:pStyle w:val="Heading2"/>
      </w:pPr>
      <w:r>
        <w:t xml:space="preserve">Przygotowanie do pracy</w:t>
      </w:r>
    </w:p>
    <w:p>
      <w:pPr>
        <w:numPr>
          <w:ilvl w:val="0"/>
          <w:numId w:val="1001"/>
        </w:numPr>
      </w:pPr>
      <w:r>
        <w:t xml:space="preserve">Przygotować szlify do skanowania.</w:t>
      </w:r>
    </w:p>
    <w:p>
      <w:pPr>
        <w:numPr>
          <w:ilvl w:val="0"/>
          <w:numId w:val="1001"/>
        </w:numPr>
      </w:pPr>
      <w:r>
        <w:t xml:space="preserve">Założyć odpowiedni katalog na dysku.</w:t>
      </w:r>
    </w:p>
    <w:p>
      <w:pPr>
        <w:numPr>
          <w:ilvl w:val="0"/>
          <w:numId w:val="1001"/>
        </w:numPr>
      </w:pPr>
      <w:r>
        <w:t xml:space="preserve">Podłączyć skaner do komputera.</w:t>
      </w:r>
    </w:p>
    <w:p>
      <w:pPr>
        <w:numPr>
          <w:ilvl w:val="0"/>
          <w:numId w:val="1001"/>
        </w:numPr>
      </w:pPr>
      <w:r>
        <w:t xml:space="preserve">Włączyć skaner.</w:t>
      </w:r>
    </w:p>
    <w:bookmarkEnd w:id="24"/>
    <w:bookmarkStart w:id="25" w:name="praca-z-programem-epson-scan"/>
    <w:p>
      <w:pPr>
        <w:pStyle w:val="Heading2"/>
      </w:pPr>
      <w:r>
        <w:t xml:space="preserve">Praca z programem EPSON Scan</w:t>
      </w:r>
    </w:p>
    <w:p>
      <w:pPr>
        <w:numPr>
          <w:ilvl w:val="0"/>
          <w:numId w:val="1002"/>
        </w:numPr>
      </w:pPr>
      <w:r>
        <w:t xml:space="preserve">Włączyć oprogramowanie EPSON Scan.</w:t>
      </w:r>
    </w:p>
    <w:p>
      <w:pPr>
        <w:numPr>
          <w:ilvl w:val="0"/>
          <w:numId w:val="1000"/>
        </w:numPr>
      </w:pPr>
      <w:r>
        <w:t xml:space="preserve">Instalator sterowników skanera dostępny w lokalizacji:</w:t>
      </w:r>
      <w:r>
        <w:t xml:space="preserve"> </w:t>
      </w:r>
      <w:r>
        <w:rPr>
          <w:iCs/>
          <w:i/>
        </w:rPr>
        <w:t xml:space="preserve">Public\Sprzęt i programy\Software\_Sterowniki\Epson</w:t>
      </w:r>
    </w:p>
    <w:p>
      <w:pPr>
        <w:numPr>
          <w:ilvl w:val="0"/>
          <w:numId w:val="1002"/>
        </w:numPr>
      </w:pPr>
      <w:r>
        <w:t xml:space="preserve">Ustawić parametry w programie:</w:t>
      </w:r>
    </w:p>
    <w:p>
      <w:pPr>
        <w:numPr>
          <w:ilvl w:val="1"/>
          <w:numId w:val="1003"/>
        </w:numPr>
      </w:pPr>
      <w:r>
        <w:t xml:space="preserve">Tryb profesjonalny.</w:t>
      </w:r>
    </w:p>
    <w:p>
      <w:pPr>
        <w:numPr>
          <w:ilvl w:val="1"/>
          <w:numId w:val="1003"/>
        </w:numPr>
      </w:pPr>
      <w:r>
        <w:t xml:space="preserve">Typ: FILM.</w:t>
      </w:r>
    </w:p>
    <w:p>
      <w:pPr>
        <w:numPr>
          <w:ilvl w:val="1"/>
          <w:numId w:val="1003"/>
        </w:numPr>
      </w:pPr>
      <w:r>
        <w:t xml:space="preserve">Typ filmu: FILM POZYTYWOWY.</w:t>
      </w:r>
    </w:p>
    <w:p>
      <w:pPr>
        <w:numPr>
          <w:ilvl w:val="1"/>
          <w:numId w:val="1003"/>
        </w:numPr>
      </w:pPr>
      <w:r>
        <w:t xml:space="preserve">Rozdzielczość: 2400 DPI.</w:t>
      </w:r>
    </w:p>
    <w:p>
      <w:pPr>
        <w:numPr>
          <w:ilvl w:val="1"/>
          <w:numId w:val="1003"/>
        </w:numPr>
      </w:pPr>
      <w:r>
        <w:t xml:space="preserve">Maska wyostrzająca.</w:t>
      </w:r>
    </w:p>
    <w:bookmarkEnd w:id="25"/>
    <w:bookmarkStart w:id="26" w:name="obsługa-skanera"/>
    <w:p>
      <w:pPr>
        <w:pStyle w:val="Heading2"/>
      </w:pPr>
      <w:r>
        <w:t xml:space="preserve">Obsługa skanera</w:t>
      </w:r>
    </w:p>
    <w:p>
      <w:pPr>
        <w:numPr>
          <w:ilvl w:val="0"/>
          <w:numId w:val="1004"/>
        </w:numPr>
      </w:pPr>
      <w:r>
        <w:t xml:space="preserve">Ściągnąć białą osłonę z pokrywy skanera.</w:t>
      </w:r>
    </w:p>
    <w:p>
      <w:pPr>
        <w:numPr>
          <w:ilvl w:val="0"/>
          <w:numId w:val="1004"/>
        </w:numPr>
      </w:pPr>
      <w:r>
        <w:t xml:space="preserve">Nałożyć uchwyt do filmów i klisz.</w:t>
      </w:r>
    </w:p>
    <w:p>
      <w:pPr>
        <w:numPr>
          <w:ilvl w:val="0"/>
          <w:numId w:val="1004"/>
        </w:numPr>
      </w:pPr>
      <w:r>
        <w:t xml:space="preserve">Ułożyć</w:t>
      </w:r>
      <w:r>
        <w:t xml:space="preserve"> </w:t>
      </w:r>
      <w:r>
        <w:rPr>
          <w:bCs/>
          <w:b/>
        </w:rPr>
        <w:t xml:space="preserve">pierwszą</w:t>
      </w:r>
      <w:r>
        <w:t xml:space="preserve"> </w:t>
      </w:r>
      <w:r>
        <w:t xml:space="preserve">folię polaryzacyjną na szybie skanera.</w:t>
      </w:r>
    </w:p>
    <w:p>
      <w:pPr>
        <w:numPr>
          <w:ilvl w:val="0"/>
          <w:numId w:val="1004"/>
        </w:numPr>
      </w:pPr>
      <w:r>
        <w:t xml:space="preserve">Włożyć szlif do dołu skanera (może być w uchwycie).</w:t>
      </w:r>
    </w:p>
    <w:p>
      <w:pPr>
        <w:numPr>
          <w:ilvl w:val="0"/>
          <w:numId w:val="1000"/>
        </w:numPr>
      </w:pPr>
      <w:r>
        <w:rPr>
          <w:bCs/>
          <w:b/>
        </w:rPr>
        <w:t xml:space="preserve">Strop</w:t>
      </w:r>
      <w:r>
        <w:t xml:space="preserve"> </w:t>
      </w:r>
      <w:r>
        <w:t xml:space="preserve">zawsze w stronę przycisków na obudowie urządzenia.</w:t>
      </w:r>
    </w:p>
    <w:p>
      <w:pPr>
        <w:numPr>
          <w:ilvl w:val="0"/>
          <w:numId w:val="1004"/>
        </w:numPr>
      </w:pPr>
      <w:r>
        <w:t xml:space="preserve">Ułożyć</w:t>
      </w:r>
      <w:r>
        <w:t xml:space="preserve"> </w:t>
      </w:r>
      <w:r>
        <w:rPr>
          <w:bCs/>
          <w:b/>
        </w:rPr>
        <w:t xml:space="preserve">drugą</w:t>
      </w:r>
      <w:r>
        <w:t xml:space="preserve"> </w:t>
      </w:r>
      <w:r>
        <w:t xml:space="preserve">folię polaryzacyjną na szlifie, prostopadle do</w:t>
      </w:r>
      <w:r>
        <w:t xml:space="preserve"> </w:t>
      </w:r>
      <w:r>
        <w:rPr>
          <w:bCs/>
          <w:b/>
        </w:rPr>
        <w:t xml:space="preserve">pierwszej</w:t>
      </w:r>
      <w:r>
        <w:t xml:space="preserve"> </w:t>
      </w:r>
      <w:r>
        <w:t xml:space="preserve">folii.</w:t>
      </w:r>
    </w:p>
    <w:p>
      <w:pPr>
        <w:numPr>
          <w:ilvl w:val="0"/>
          <w:numId w:val="1004"/>
        </w:numPr>
      </w:pPr>
      <w:r>
        <w:t xml:space="preserve">Surowy obraz zapisać w formacie</w:t>
      </w:r>
      <w:r>
        <w:t xml:space="preserve"> </w:t>
      </w:r>
      <w:r>
        <w:rPr>
          <w:rStyle w:val="VerbatimChar"/>
        </w:rPr>
        <w:t xml:space="preserve">.bmp</w:t>
      </w:r>
      <w:r>
        <w:t xml:space="preserve">.</w:t>
      </w:r>
    </w:p>
    <w:p>
      <w:pPr>
        <w:numPr>
          <w:ilvl w:val="0"/>
          <w:numId w:val="1000"/>
        </w:numPr>
      </w:pPr>
      <w:r>
        <w:t xml:space="preserve">Nazwa pliku musi odpowiadać oznaczeniu szlifu.</w:t>
      </w:r>
    </w:p>
    <w:p>
      <w:pPr>
        <w:numPr>
          <w:ilvl w:val="0"/>
          <w:numId w:val="1000"/>
        </w:numPr>
      </w:pPr>
      <w:r>
        <w:t xml:space="preserve">Dodatkowo, pliki należy numerować. Zależnie od maksymalnej liczby szlifów, numerację zacząć od 1, 01 lub 001, tak aby każda liczba porządkowa miała zawsze rozwinięcie równe liczbie porządkowej ostatniego ze szlifów. Ułatwi to właściwe sortowanie plików przez system i oprogramowanie.</w:t>
      </w:r>
    </w:p>
    <w:p>
      <w:pPr>
        <w:numPr>
          <w:ilvl w:val="0"/>
          <w:numId w:val="1000"/>
        </w:numPr>
      </w:pPr>
      <w:r>
        <w:t xml:space="preserve">Przykłady:</w:t>
      </w:r>
    </w:p>
    <w:p>
      <w:pPr>
        <w:numPr>
          <w:ilvl w:val="1"/>
          <w:numId w:val="1005"/>
        </w:numPr>
      </w:pPr>
      <w:r>
        <w:t xml:space="preserve">Jezioro ABC,</w:t>
      </w:r>
      <w:r>
        <w:t xml:space="preserve"> </w:t>
      </w:r>
      <w:r>
        <w:rPr>
          <w:bCs/>
          <w:b/>
        </w:rPr>
        <w:t xml:space="preserve">9</w:t>
      </w:r>
      <w:r>
        <w:t xml:space="preserve"> </w:t>
      </w:r>
      <w:r>
        <w:t xml:space="preserve">szlifów:</w:t>
      </w:r>
      <w:r>
        <w:t xml:space="preserve"> </w:t>
      </w:r>
      <w:r>
        <w:rPr>
          <w:bCs/>
          <w:b/>
        </w:rPr>
        <w:t xml:space="preserve">1</w:t>
      </w:r>
      <w:r>
        <w:t xml:space="preserve">, 2 …,</w:t>
      </w:r>
      <w:r>
        <w:t xml:space="preserve"> </w:t>
      </w:r>
      <w:r>
        <w:rPr>
          <w:bCs/>
          <w:b/>
        </w:rPr>
        <w:t xml:space="preserve">9</w:t>
      </w:r>
      <w:r>
        <w:t xml:space="preserve">.</w:t>
      </w:r>
    </w:p>
    <w:p>
      <w:pPr>
        <w:numPr>
          <w:ilvl w:val="1"/>
          <w:numId w:val="1005"/>
        </w:numPr>
      </w:pPr>
      <w:r>
        <w:t xml:space="preserve">Jezioro DEF,</w:t>
      </w:r>
      <w:r>
        <w:t xml:space="preserve"> </w:t>
      </w:r>
      <w:r>
        <w:rPr>
          <w:bCs/>
          <w:b/>
        </w:rPr>
        <w:t xml:space="preserve">10</w:t>
      </w:r>
      <w:r>
        <w:t xml:space="preserve"> </w:t>
      </w:r>
      <w:r>
        <w:t xml:space="preserve">szlifów:</w:t>
      </w:r>
      <w:r>
        <w:t xml:space="preserve"> </w:t>
      </w:r>
      <w:r>
        <w:rPr>
          <w:bCs/>
          <w:b/>
        </w:rPr>
        <w:t xml:space="preserve">01</w:t>
      </w:r>
      <w:r>
        <w:t xml:space="preserve">, 02, …,</w:t>
      </w:r>
      <w:r>
        <w:t xml:space="preserve"> </w:t>
      </w:r>
      <w:r>
        <w:rPr>
          <w:bCs/>
          <w:b/>
        </w:rPr>
        <w:t xml:space="preserve">10.</w:t>
      </w:r>
    </w:p>
    <w:p>
      <w:pPr>
        <w:numPr>
          <w:ilvl w:val="1"/>
          <w:numId w:val="1005"/>
        </w:numPr>
      </w:pPr>
      <w:r>
        <w:t xml:space="preserve">Jezioro GHI:</w:t>
      </w:r>
      <w:r>
        <w:t xml:space="preserve"> </w:t>
      </w:r>
      <w:r>
        <w:rPr>
          <w:bCs/>
          <w:b/>
        </w:rPr>
        <w:t xml:space="preserve">100</w:t>
      </w:r>
      <w:r>
        <w:t xml:space="preserve"> </w:t>
      </w:r>
      <w:r>
        <w:t xml:space="preserve">szlifów:</w:t>
      </w:r>
      <w:r>
        <w:t xml:space="preserve"> </w:t>
      </w:r>
      <w:r>
        <w:rPr>
          <w:bCs/>
          <w:b/>
        </w:rPr>
        <w:t xml:space="preserve">001</w:t>
      </w:r>
      <w:r>
        <w:t xml:space="preserve">, 002, …,</w:t>
      </w:r>
      <w:r>
        <w:t xml:space="preserve"> </w:t>
      </w:r>
      <w:r>
        <w:rPr>
          <w:bCs/>
          <w:b/>
        </w:rPr>
        <w:t xml:space="preserve">100</w:t>
      </w:r>
      <w:r>
        <w:t xml:space="preserve">.</w:t>
      </w:r>
    </w:p>
    <w:p>
      <w:pPr>
        <w:numPr>
          <w:ilvl w:val="0"/>
          <w:numId w:val="1004"/>
        </w:numPr>
      </w:pPr>
      <w:r>
        <w:t xml:space="preserve">Skopiować pliki na serwer.</w:t>
      </w:r>
    </w:p>
    <w:p>
      <w:pPr>
        <w:numPr>
          <w:ilvl w:val="0"/>
          <w:numId w:val="1000"/>
        </w:numPr>
      </w:pPr>
      <w:r>
        <w:rPr>
          <w:iCs/>
          <w:i/>
        </w:rPr>
        <w:t xml:space="preserve">Public\Data\lake_thin-sections\</w:t>
      </w:r>
      <w:r>
        <w:rPr>
          <w:bCs/>
          <w:b/>
          <w:iCs/>
          <w:i/>
        </w:rPr>
        <w:t xml:space="preserve">country\JJJ\RRRR</w:t>
      </w:r>
    </w:p>
    <w:p>
      <w:pPr>
        <w:pStyle w:val="FirstParagraph"/>
      </w:pPr>
      <w:r>
        <w:t xml:space="preserve">Tab. 1. Opis oznaczeń wykorzystywanych w ścieżce.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id</w:t>
            </w:r>
          </w:p>
        </w:tc>
        <w:tc>
          <w:tcPr/>
          <w:p>
            <w:pPr>
              <w:pStyle w:val="Compact"/>
              <w:jc w:val="left"/>
            </w:pPr>
            <w:r>
              <w:t xml:space="preserve">kod</w:t>
            </w:r>
          </w:p>
        </w:tc>
        <w:tc>
          <w:tcPr/>
          <w:p>
            <w:pPr>
              <w:pStyle w:val="Compact"/>
              <w:jc w:val="left"/>
            </w:pPr>
            <w:r>
              <w:t xml:space="preserve">znaczenie</w:t>
            </w:r>
          </w:p>
        </w:tc>
      </w:tr>
      <w:tr>
        <w:tc>
          <w:tcPr/>
          <w:p>
            <w:pPr>
              <w:pStyle w:val="Compact"/>
              <w:jc w:val="right"/>
            </w:pPr>
            <w:r>
              <w:t xml:space="preserve">1</w:t>
            </w:r>
          </w:p>
        </w:tc>
        <w:tc>
          <w:tcPr/>
          <w:p>
            <w:pPr>
              <w:pStyle w:val="Compact"/>
              <w:jc w:val="left"/>
            </w:pPr>
            <w:r>
              <w:t xml:space="preserve">country</w:t>
            </w:r>
          </w:p>
        </w:tc>
        <w:tc>
          <w:tcPr/>
          <w:p>
            <w:pPr>
              <w:pStyle w:val="Compact"/>
              <w:jc w:val="left"/>
            </w:pPr>
            <w:r>
              <w:t xml:space="preserve">kraj</w:t>
            </w:r>
          </w:p>
        </w:tc>
      </w:tr>
      <w:tr>
        <w:tc>
          <w:tcPr/>
          <w:p>
            <w:pPr>
              <w:pStyle w:val="Compact"/>
              <w:jc w:val="right"/>
            </w:pPr>
            <w:r>
              <w:t xml:space="preserve">2</w:t>
            </w:r>
          </w:p>
        </w:tc>
        <w:tc>
          <w:tcPr/>
          <w:p>
            <w:pPr>
              <w:pStyle w:val="Compact"/>
              <w:jc w:val="left"/>
            </w:pPr>
            <w:r>
              <w:t xml:space="preserve">JJJ (dowolna długość)</w:t>
            </w:r>
          </w:p>
        </w:tc>
        <w:tc>
          <w:tcPr/>
          <w:p>
            <w:pPr>
              <w:pStyle w:val="Compact"/>
              <w:jc w:val="left"/>
            </w:pPr>
            <w:r>
              <w:t xml:space="preserve">jezioro</w:t>
            </w:r>
          </w:p>
        </w:tc>
      </w:tr>
      <w:tr>
        <w:tc>
          <w:tcPr/>
          <w:p>
            <w:pPr>
              <w:pStyle w:val="Compact"/>
              <w:jc w:val="right"/>
            </w:pPr>
            <w:r>
              <w:t xml:space="preserve">2</w:t>
            </w:r>
          </w:p>
        </w:tc>
        <w:tc>
          <w:tcPr/>
          <w:p>
            <w:pPr>
              <w:pStyle w:val="Compact"/>
              <w:jc w:val="left"/>
            </w:pPr>
            <w:r>
              <w:t xml:space="preserve">RRRR</w:t>
            </w:r>
          </w:p>
        </w:tc>
        <w:tc>
          <w:tcPr/>
          <w:p>
            <w:pPr>
              <w:pStyle w:val="Compact"/>
              <w:jc w:val="left"/>
            </w:pPr>
            <w:r>
              <w:t xml:space="preserve">rok</w:t>
            </w:r>
          </w:p>
        </w:tc>
      </w:tr>
    </w:tbl>
    <w:bookmarkEnd w:id="26"/>
    <w:bookmarkStart w:id="27" w:name="rejestr-zmian"/>
    <w:p>
      <w:pPr>
        <w:pStyle w:val="Heading2"/>
      </w:pPr>
      <w:r>
        <w:t xml:space="preserve">Rejestr zmian</w:t>
      </w:r>
    </w:p>
    <w:p>
      <w:pPr>
        <w:pStyle w:val="FirstParagraph"/>
      </w:pPr>
      <w:r>
        <w:t xml:space="preserve">01.12.2022, MZ – wersja inicjalna Quarto. Rozwinięcie treści.</w:t>
      </w:r>
    </w:p>
    <w:p>
      <w:pPr>
        <w:pStyle w:val="BodyText"/>
      </w:pPr>
      <w:r>
        <w:t xml:space="preserve">Maurycy Żarczyński 2022-12-08</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geomorfologia.ug.edu.pl" TargetMode="External" /></Relationships>
</file>

<file path=word/_rels/footnotes.xml.rels><?xml version="1.0" encoding="UTF-8"?><Relationships xmlns="http://schemas.openxmlformats.org/package/2006/relationships"><Relationship Type="http://schemas.openxmlformats.org/officeDocument/2006/relationships/hyperlink" Id="rId23" Target="https://geomorfologia.ug.edu.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2022-12-08T21:25:45Z</dcterms:created>
  <dcterms:modified xsi:type="dcterms:W3CDTF">2022-12-08T21:25:45Z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