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X975acecb363e04131abd309a1203fe777318e3b"/>
    <w:p>
      <w:pPr>
        <w:pStyle w:val="Heading1"/>
      </w:pPr>
      <w:r>
        <w:t xml:space="preserve">Przygotowanie sztabek do cienkich szlifów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pStyle w:val="FirstParagraph"/>
      </w:pPr>
      <w:r>
        <w:rPr>
          <w:smallCaps/>
        </w:rPr>
        <w:t xml:space="preserve">Praca z żywicą epoksydową odbywa się tylko pod włączonym digestorium</w:t>
      </w:r>
    </w:p>
    <w:p>
      <w:pPr>
        <w:numPr>
          <w:ilvl w:val="0"/>
          <w:numId w:val="1001"/>
        </w:numPr>
      </w:pPr>
      <w:r>
        <w:t xml:space="preserve">Przygotować schemat opróbowania wraz z głębokościami i etykietami.</w:t>
      </w:r>
    </w:p>
    <w:p>
      <w:pPr>
        <w:numPr>
          <w:ilvl w:val="0"/>
          <w:numId w:val="1000"/>
        </w:numPr>
      </w:pPr>
      <w:r>
        <w:t xml:space="preserve">Standardowa zakładka to</w:t>
      </w:r>
      <w:r>
        <w:t xml:space="preserve"> </w:t>
      </w:r>
      <w:r>
        <w:rPr>
          <w:bCs/>
          <w:b/>
        </w:rPr>
        <w:t xml:space="preserve">2.0 cm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rdzeń.</w:t>
      </w:r>
    </w:p>
    <w:p>
      <w:pPr>
        <w:numPr>
          <w:ilvl w:val="0"/>
          <w:numId w:val="1000"/>
        </w:numPr>
      </w:pPr>
      <w:r>
        <w:t xml:space="preserve">Wyrównać i oczyścić powierzchnię osadu.</w:t>
      </w:r>
    </w:p>
    <w:p>
      <w:pPr>
        <w:numPr>
          <w:ilvl w:val="0"/>
          <w:numId w:val="1001"/>
        </w:numPr>
      </w:pPr>
      <w:r>
        <w:t xml:space="preserve">Przygotować formy aluminiowe:</w:t>
      </w:r>
    </w:p>
    <w:p>
      <w:pPr>
        <w:numPr>
          <w:ilvl w:val="1"/>
          <w:numId w:val="1002"/>
        </w:numPr>
      </w:pPr>
      <w:r>
        <w:t xml:space="preserve">Blacha</w:t>
      </w:r>
      <w:r>
        <w:t xml:space="preserve"> </w:t>
      </w:r>
      <w:r>
        <w:rPr>
          <w:bCs/>
          <w:b/>
        </w:rPr>
        <w:t xml:space="preserve">≤ 0.2 mm</w:t>
      </w:r>
      <w:r>
        <w:t xml:space="preserve"> </w:t>
      </w:r>
      <w:r>
        <w:t xml:space="preserve">grubości.</w:t>
      </w:r>
    </w:p>
    <w:p>
      <w:pPr>
        <w:numPr>
          <w:ilvl w:val="1"/>
          <w:numId w:val="1002"/>
        </w:numPr>
      </w:pPr>
      <w:r>
        <w:t xml:space="preserve">Rynienki:</w:t>
      </w:r>
    </w:p>
    <w:p>
      <w:pPr>
        <w:numPr>
          <w:ilvl w:val="2"/>
          <w:numId w:val="1003"/>
        </w:numPr>
      </w:pPr>
      <w:r>
        <w:t xml:space="preserve">Małe (S):</w:t>
      </w:r>
      <w:r>
        <w:t xml:space="preserve"> </w:t>
      </w:r>
      <w:r>
        <w:rPr>
          <w:bCs/>
          <w:b/>
        </w:rPr>
        <w:t xml:space="preserve">125 mm × 45 mm.</w:t>
      </w:r>
    </w:p>
    <w:p>
      <w:pPr>
        <w:numPr>
          <w:ilvl w:val="2"/>
          <w:numId w:val="1003"/>
        </w:numPr>
      </w:pPr>
      <w:r>
        <w:t xml:space="preserve">Duże (L):</w:t>
      </w:r>
      <w:r>
        <w:t xml:space="preserve"> </w:t>
      </w:r>
      <w:r>
        <w:rPr>
          <w:bCs/>
          <w:b/>
        </w:rPr>
        <w:t xml:space="preserve">155 mm × 70 mm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Wymiary rynienek dostosowane są do potrzeb Zakładu Geomorfologii i Geologii Czwartorzędu.</w:t>
      </w:r>
    </w:p>
    <w:p>
      <w:pPr>
        <w:numPr>
          <w:ilvl w:val="0"/>
          <w:numId w:val="1001"/>
        </w:numPr>
      </w:pPr>
      <w:r>
        <w:t xml:space="preserve">Składanie rynienek:</w:t>
      </w:r>
    </w:p>
    <w:p>
      <w:pPr>
        <w:numPr>
          <w:ilvl w:val="1"/>
          <w:numId w:val="1004"/>
        </w:numPr>
      </w:pPr>
      <w:r>
        <w:t xml:space="preserve">Małe rynienki: przy formowaniu rogi</w:t>
      </w:r>
      <w:r>
        <w:t xml:space="preserve"> </w:t>
      </w:r>
      <w:r>
        <w:rPr>
          <w:bCs/>
          <w:b/>
        </w:rPr>
        <w:t xml:space="preserve">wycinać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Duże rynienki: przy formowaniu narożniki</w:t>
      </w:r>
      <w:r>
        <w:t xml:space="preserve"> </w:t>
      </w:r>
      <w:r>
        <w:rPr>
          <w:bCs/>
          <w:b/>
        </w:rPr>
        <w:t xml:space="preserve">zaginać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Wykonać otwory w dnach mniejszych rynienek.</w:t>
      </w:r>
    </w:p>
    <w:p>
      <w:pPr>
        <w:numPr>
          <w:ilvl w:val="0"/>
          <w:numId w:val="1000"/>
        </w:numPr>
      </w:pPr>
      <w:r>
        <w:t xml:space="preserve">Otworów powinno być maksymalnie dużo. Jest to zależne od spoistości osadu. Osad klastyczny</w:t>
      </w:r>
      <w:r>
        <w:t xml:space="preserve"> </w:t>
      </w:r>
      <w:r>
        <w:rPr>
          <w:iCs/>
          <w:i/>
        </w:rPr>
        <w:t xml:space="preserve">rozpływa się</w:t>
      </w:r>
      <w:r>
        <w:t xml:space="preserve"> </w:t>
      </w:r>
      <w:r>
        <w:t xml:space="preserve">trudniej od biogenicznej gytii.</w:t>
      </w:r>
    </w:p>
    <w:p>
      <w:pPr>
        <w:numPr>
          <w:ilvl w:val="0"/>
          <w:numId w:val="1001"/>
        </w:numPr>
      </w:pPr>
      <w:r>
        <w:t xml:space="preserve">Małe rynienki oznaczyć stalowym rysikiem z boku.</w:t>
      </w:r>
    </w:p>
    <w:p>
      <w:pPr>
        <w:numPr>
          <w:ilvl w:val="0"/>
          <w:numId w:val="1000"/>
        </w:numPr>
      </w:pPr>
      <w:r>
        <w:t xml:space="preserve">Zapisać symbol próby oraz oznaczyć kierunek stropu strzałką. Głębokość jest wyrażona w cm danej sekcji, rdzenia.</w:t>
      </w:r>
      <w:r>
        <w:br/>
      </w:r>
      <w:r>
        <w:t xml:space="preserve">Przykładowy opis rynienki:</w:t>
      </w:r>
      <w:r>
        <w:br/>
      </w:r>
      <w:r>
        <w:rPr>
          <w:rStyle w:val="VerbatimChar"/>
        </w:rPr>
        <w:t xml:space="preserve">&lt;- ZAB–12/3–2 xx–xx</w:t>
      </w:r>
      <w:r>
        <w:br/>
      </w:r>
      <w:r>
        <w:br/>
      </w:r>
      <w:r>
        <w:t xml:space="preserve">gdzie:</w:t>
      </w:r>
      <w:r>
        <w:br/>
      </w:r>
      <w:r>
        <w:rPr>
          <w:bCs/>
          <w:b/>
        </w:rPr>
        <w:t xml:space="preserve">xx</w:t>
      </w:r>
      <w:r>
        <w:t xml:space="preserve">: centymetry w rdzeniu.</w:t>
      </w:r>
    </w:p>
    <w:bookmarkEnd w:id="24"/>
    <w:bookmarkStart w:id="25" w:name="pobór-próbek"/>
    <w:p>
      <w:pPr>
        <w:pStyle w:val="Heading2"/>
      </w:pPr>
      <w:r>
        <w:t xml:space="preserve">Pobór próbek</w:t>
      </w:r>
    </w:p>
    <w:p>
      <w:pPr>
        <w:numPr>
          <w:ilvl w:val="0"/>
          <w:numId w:val="1005"/>
        </w:numPr>
      </w:pPr>
      <w:r>
        <w:t xml:space="preserve">Rdzeń umieścić w korytku z miarką.</w:t>
      </w:r>
    </w:p>
    <w:p>
      <w:pPr>
        <w:numPr>
          <w:ilvl w:val="0"/>
          <w:numId w:val="1000"/>
        </w:numPr>
      </w:pPr>
      <w:r>
        <w:t xml:space="preserve">Można wykorzystać korytko do fotografii. Istotne jest wykorzystywanie tej samej miary w trakcie całej procedury.</w:t>
      </w:r>
    </w:p>
    <w:p>
      <w:pPr>
        <w:numPr>
          <w:ilvl w:val="0"/>
          <w:numId w:val="1005"/>
        </w:numPr>
      </w:pPr>
      <w:r>
        <w:t xml:space="preserve">W oczyszczony i wyrównany osad wbić</w:t>
      </w:r>
      <w:r>
        <w:t xml:space="preserve"> </w:t>
      </w:r>
      <w:r>
        <w:rPr>
          <w:bCs/>
          <w:b/>
        </w:rPr>
        <w:t xml:space="preserve">małe rynienki (S)</w:t>
      </w:r>
      <w:r>
        <w:t xml:space="preserve"> </w:t>
      </w:r>
      <w:r>
        <w:t xml:space="preserve">zgodnie ze schematem opróbowania.</w:t>
      </w:r>
    </w:p>
    <w:p>
      <w:pPr>
        <w:numPr>
          <w:ilvl w:val="0"/>
          <w:numId w:val="1005"/>
        </w:numPr>
      </w:pPr>
      <w:r>
        <w:t xml:space="preserve">Ostrożnie wyciąć osad za pomocą drutu.</w:t>
      </w:r>
    </w:p>
    <w:p>
      <w:pPr>
        <w:numPr>
          <w:ilvl w:val="0"/>
          <w:numId w:val="1005"/>
        </w:numPr>
      </w:pPr>
      <w:r>
        <w:t xml:space="preserve">Podważyć rynienkę metalowymi ostrzami i ostrożnie usunąć z rdzenia. Przechowywać pod przykryciem, w chłodnych warunkach.</w:t>
      </w:r>
    </w:p>
    <w:bookmarkEnd w:id="25"/>
    <w:bookmarkStart w:id="26" w:name="suszenie-próbek"/>
    <w:p>
      <w:pPr>
        <w:pStyle w:val="Heading2"/>
      </w:pPr>
      <w:r>
        <w:t xml:space="preserve">Suszenie próbek</w:t>
      </w:r>
    </w:p>
    <w:p>
      <w:pPr>
        <w:numPr>
          <w:ilvl w:val="0"/>
          <w:numId w:val="1006"/>
        </w:numPr>
      </w:pPr>
      <w:r>
        <w:t xml:space="preserve">Umieścić aluminiowe kuwety na styropianowej izolacji.</w:t>
      </w:r>
    </w:p>
    <w:p>
      <w:pPr>
        <w:numPr>
          <w:ilvl w:val="0"/>
          <w:numId w:val="1006"/>
        </w:numPr>
      </w:pPr>
      <w:r>
        <w:t xml:space="preserve">Umieścić próbki w aluminiowych kuwetach.</w:t>
      </w:r>
    </w:p>
    <w:p>
      <w:pPr>
        <w:numPr>
          <w:ilvl w:val="0"/>
          <w:numId w:val="1006"/>
        </w:numPr>
      </w:pPr>
      <w:r>
        <w:t xml:space="preserve">Zalać kuwety ciekłym azotem.</w:t>
      </w:r>
    </w:p>
    <w:p>
      <w:pPr>
        <w:numPr>
          <w:ilvl w:val="0"/>
          <w:numId w:val="1000"/>
        </w:numPr>
      </w:pPr>
      <w:r>
        <w:t xml:space="preserve">Zalewanie próbek prowadzić możliwie powoli. Postępować ostrożnie, cierpliwie i z uwagą.</w:t>
      </w:r>
      <w:r>
        <w:br/>
      </w:r>
      <w:r>
        <w:t xml:space="preserve">Zbyt</w:t>
      </w:r>
      <w:r>
        <w:t xml:space="preserve"> </w:t>
      </w:r>
      <w:r>
        <w:rPr>
          <w:bCs/>
          <w:b/>
        </w:rPr>
        <w:t xml:space="preserve">szybko</w:t>
      </w:r>
      <w:r>
        <w:t xml:space="preserve"> </w:t>
      </w:r>
      <w:r>
        <w:t xml:space="preserve">zamrożone monolity zaczną</w:t>
      </w:r>
      <w:r>
        <w:t xml:space="preserve"> </w:t>
      </w:r>
      <w:r>
        <w:rPr>
          <w:bCs/>
          <w:b/>
        </w:rPr>
        <w:t xml:space="preserve">pękać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Całkowicie zamrożone próbki przenieść szczypcami na tacki i umieścić w liofilizatorze do wysuszenia na</w:t>
      </w:r>
      <w:r>
        <w:t xml:space="preserve"> </w:t>
      </w:r>
      <w:r>
        <w:rPr>
          <w:bCs/>
          <w:b/>
        </w:rPr>
        <w:t xml:space="preserve">minimum 7 dni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 przypadku pobrania większej liczby próbek niż miejsc w liofilizatorze, umieścić</w:t>
      </w:r>
      <w:r>
        <w:t xml:space="preserve"> </w:t>
      </w:r>
      <w:r>
        <w:rPr>
          <w:bCs/>
          <w:b/>
        </w:rPr>
        <w:t xml:space="preserve">niezamrożone</w:t>
      </w:r>
      <w:r>
        <w:t xml:space="preserve"> </w:t>
      </w:r>
      <w:r>
        <w:t xml:space="preserve">próbki w chłodni.</w:t>
      </w:r>
    </w:p>
    <w:bookmarkEnd w:id="26"/>
    <w:bookmarkStart w:id="29" w:name="impregnacja-próbek"/>
    <w:p>
      <w:pPr>
        <w:pStyle w:val="Heading2"/>
      </w:pPr>
      <w:r>
        <w:t xml:space="preserve">Impregnacja próbek</w:t>
      </w:r>
    </w:p>
    <w:bookmarkStart w:id="27" w:name="X4e3e978e954f5fb1b5b7aee09b4fe441a38d134"/>
    <w:p>
      <w:pPr>
        <w:pStyle w:val="Heading3"/>
      </w:pPr>
      <w:r>
        <w:t xml:space="preserve">Przygotowanie składników żywicy epoksydowej</w:t>
      </w:r>
    </w:p>
    <w:p>
      <w:pPr>
        <w:numPr>
          <w:ilvl w:val="0"/>
          <w:numId w:val="1007"/>
        </w:numPr>
      </w:pPr>
      <w:r>
        <w:t xml:space="preserve">Zabezpieczyć wagę przed żywicą.</w:t>
      </w:r>
    </w:p>
    <w:p>
      <w:pPr>
        <w:numPr>
          <w:ilvl w:val="0"/>
          <w:numId w:val="1000"/>
        </w:numPr>
      </w:pPr>
      <w:r>
        <w:t xml:space="preserve">Wykorzystać tekturę lub folię aluminiową.</w:t>
      </w:r>
    </w:p>
    <w:p>
      <w:pPr>
        <w:numPr>
          <w:ilvl w:val="0"/>
          <w:numId w:val="1007"/>
        </w:numPr>
      </w:pPr>
      <w:r>
        <w:t xml:space="preserve">Przygotowywać żywicę zgodnie z instrukcją.</w:t>
      </w:r>
    </w:p>
    <w:p>
      <w:pPr>
        <w:numPr>
          <w:ilvl w:val="0"/>
          <w:numId w:val="1000"/>
        </w:numPr>
      </w:pPr>
      <w:r>
        <w:t xml:space="preserve">Nie przygotowywać dużej ilości żywicy na zapas. Wykorzystywać niewielkie ilości na bieżąco, w ramach potrzeb.</w:t>
      </w:r>
    </w:p>
    <w:p>
      <w:pPr>
        <w:numPr>
          <w:ilvl w:val="0"/>
          <w:numId w:val="1007"/>
        </w:numPr>
      </w:pPr>
      <w:r>
        <w:t xml:space="preserve">Naważyć odpowiednią ilość komponentu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 następnie zakraplać komponent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do osiągnięcia wymaganej masy (z zachowaniem proporcji).</w:t>
      </w:r>
    </w:p>
    <w:p>
      <w:pPr>
        <w:numPr>
          <w:ilvl w:val="0"/>
          <w:numId w:val="1000"/>
        </w:numPr>
      </w:pPr>
      <w:r>
        <w:t xml:space="preserve">Stosując tę kolejność zmniejszymy ryzyko rozlania komponentu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br/>
      </w:r>
      <w:r>
        <w:t xml:space="preserve">Tabela proporcji komponentów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znajduje się w</w:t>
      </w:r>
      <w:r>
        <w:t xml:space="preserve"> </w:t>
      </w:r>
      <w:r>
        <w:rPr>
          <w:bCs/>
          <w:b/>
        </w:rPr>
        <w:t xml:space="preserve">Załączniku 1</w:t>
      </w:r>
      <w:r>
        <w:t xml:space="preserve"> </w:t>
      </w:r>
      <w:r>
        <w:t xml:space="preserve">do procedury.</w:t>
      </w:r>
    </w:p>
    <w:p>
      <w:pPr>
        <w:numPr>
          <w:ilvl w:val="0"/>
          <w:numId w:val="1007"/>
        </w:numPr>
      </w:pPr>
      <w:r>
        <w:t xml:space="preserve">Wykorzystać myjkę ultradźwiękową do usunięcia pęcherzyków powietrza.</w:t>
      </w:r>
    </w:p>
    <w:bookmarkEnd w:id="27"/>
    <w:bookmarkStart w:id="28" w:name="impregnacja-próbek-1"/>
    <w:p>
      <w:pPr>
        <w:pStyle w:val="Heading3"/>
      </w:pPr>
      <w:r>
        <w:t xml:space="preserve">Impregnacja próbek</w:t>
      </w:r>
    </w:p>
    <w:p>
      <w:pPr>
        <w:numPr>
          <w:ilvl w:val="0"/>
          <w:numId w:val="1008"/>
        </w:numPr>
      </w:pPr>
      <w:r>
        <w:t xml:space="preserve">W dużych (L) aluminiowych rynienkach lub silikonowych formach umieścić podkładki pod monolitami.</w:t>
      </w:r>
    </w:p>
    <w:p>
      <w:pPr>
        <w:numPr>
          <w:ilvl w:val="0"/>
          <w:numId w:val="1000"/>
        </w:numPr>
      </w:pPr>
      <w:r>
        <w:t xml:space="preserve">Materiał do podkładek to na przykład teflonowe paski, zapałki lub wykałaczki.</w:t>
      </w:r>
      <w:r>
        <w:br/>
      </w:r>
      <w:r>
        <w:t xml:space="preserve">Celem jest ułatwienie żywicy przedostanie się pod sposób rynienki i penetrację osadu przez otwory w spodzie rynienki.</w:t>
      </w:r>
    </w:p>
    <w:p>
      <w:pPr>
        <w:numPr>
          <w:ilvl w:val="0"/>
          <w:numId w:val="1008"/>
        </w:numPr>
      </w:pPr>
      <w:r>
        <w:t xml:space="preserve">Wysuszone próbki umieścić w dużych (L) rynienkach lub silikonowych formach.</w:t>
      </w:r>
    </w:p>
    <w:p>
      <w:pPr>
        <w:numPr>
          <w:ilvl w:val="0"/>
          <w:numId w:val="1000"/>
        </w:numPr>
      </w:pPr>
      <w:r>
        <w:t xml:space="preserve">Żywica Araldite 2020 wymaga całkowicie</w:t>
      </w:r>
      <w:r>
        <w:t xml:space="preserve"> </w:t>
      </w:r>
      <w:r>
        <w:rPr>
          <w:bCs/>
          <w:b/>
        </w:rPr>
        <w:t xml:space="preserve">wysuszonego</w:t>
      </w:r>
      <w:r>
        <w:t xml:space="preserve"> </w:t>
      </w:r>
      <w:r>
        <w:t xml:space="preserve">osadu.</w:t>
      </w:r>
    </w:p>
    <w:p>
      <w:pPr>
        <w:numPr>
          <w:ilvl w:val="0"/>
          <w:numId w:val="1008"/>
        </w:numPr>
      </w:pPr>
      <w:r>
        <w:t xml:space="preserve">Próbki umieścić na kartonowych podkładkach.</w:t>
      </w:r>
    </w:p>
    <w:p>
      <w:pPr>
        <w:numPr>
          <w:ilvl w:val="0"/>
          <w:numId w:val="1000"/>
        </w:numPr>
      </w:pPr>
      <w:r>
        <w:t xml:space="preserve">Rozlana żywica przywiera do powierzchni i jest trudna do usunięcia.</w:t>
      </w:r>
    </w:p>
    <w:p>
      <w:pPr>
        <w:numPr>
          <w:ilvl w:val="0"/>
          <w:numId w:val="1008"/>
        </w:numPr>
      </w:pPr>
      <w:r>
        <w:t xml:space="preserve">Na osadzie umieścić papierową etykietę na której zapisano symbol próby i kierunek stropu.</w:t>
      </w:r>
    </w:p>
    <w:p>
      <w:pPr>
        <w:numPr>
          <w:ilvl w:val="0"/>
          <w:numId w:val="1000"/>
        </w:numPr>
      </w:pPr>
      <w:r>
        <w:t xml:space="preserve">Tekst wydrukować lub zapisać ołówkiem.</w:t>
      </w:r>
    </w:p>
    <w:p>
      <w:pPr>
        <w:numPr>
          <w:ilvl w:val="0"/>
          <w:numId w:val="1008"/>
        </w:numPr>
      </w:pPr>
      <w:r>
        <w:t xml:space="preserve">Zachować odstępy między próbkami,</w:t>
      </w:r>
      <w:r>
        <w:t xml:space="preserve"> </w:t>
      </w:r>
      <w:r>
        <w:rPr>
          <w:bCs/>
          <w:b/>
        </w:rPr>
        <w:t xml:space="preserve">minimalna</w:t>
      </w:r>
      <w:r>
        <w:t xml:space="preserve"> </w:t>
      </w:r>
      <w:r>
        <w:t xml:space="preserve">odległość to</w:t>
      </w:r>
      <w:r>
        <w:t xml:space="preserve"> </w:t>
      </w:r>
      <w:r>
        <w:rPr>
          <w:bCs/>
          <w:b/>
        </w:rPr>
        <w:t xml:space="preserve">1 cm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trakcie wiązania żywicy Araldite 2020 zachodzi reakcja egzotermiczna, w której wydzielane jest</w:t>
      </w:r>
      <w:r>
        <w:t xml:space="preserve"> </w:t>
      </w:r>
      <w:r>
        <w:rPr>
          <w:bCs/>
          <w:b/>
        </w:rPr>
        <w:t xml:space="preserve">ciepło</w:t>
      </w:r>
      <w:r>
        <w:t xml:space="preserve">.</w:t>
      </w:r>
      <w:r>
        <w:br/>
      </w:r>
      <w:r>
        <w:t xml:space="preserve">Sztabki mogą zacząć się przegrzewać, a w przypadku za małej odległości dzielącej próbki może dojść do</w:t>
      </w:r>
      <w:r>
        <w:t xml:space="preserve"> </w:t>
      </w:r>
      <w:r>
        <w:rPr>
          <w:bCs/>
          <w:b/>
        </w:rPr>
        <w:t xml:space="preserve">zagotowania żywicy oraz osadu</w:t>
      </w:r>
      <w:r>
        <w:t xml:space="preserve">. Jest to sytuacja</w:t>
      </w:r>
      <w:r>
        <w:t xml:space="preserve"> </w:t>
      </w:r>
      <w:r>
        <w:rPr>
          <w:bCs/>
          <w:b/>
        </w:rPr>
        <w:t xml:space="preserve">niedopuszczalna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Za pomocą zakraplacza dodawać niewielkie ilości żywicy do próbek.</w:t>
      </w:r>
    </w:p>
    <w:p>
      <w:pPr>
        <w:numPr>
          <w:ilvl w:val="0"/>
          <w:numId w:val="1000"/>
        </w:numPr>
      </w:pPr>
      <w:r>
        <w:t xml:space="preserve">Żywicę wlewać po bokach, co umożliwi penetrację osadu od dołu.</w:t>
      </w:r>
    </w:p>
    <w:p>
      <w:pPr>
        <w:numPr>
          <w:ilvl w:val="0"/>
          <w:numId w:val="1008"/>
        </w:numPr>
      </w:pPr>
      <w:r>
        <w:t xml:space="preserve">Próbki umieścić w eksykatorze. Odpompowywać kilkukrotnie powietrze. Konsekwentnie do zauważalnego wchłonięcia żywicy przez osad.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Nie doprowadzić do zagotowania</w:t>
      </w:r>
      <w:r>
        <w:t xml:space="preserve">. Tempo i intensywność regulować strumieniem wody.</w:t>
      </w:r>
    </w:p>
    <w:p>
      <w:pPr>
        <w:numPr>
          <w:ilvl w:val="0"/>
          <w:numId w:val="1008"/>
        </w:numPr>
      </w:pPr>
      <w:r>
        <w:t xml:space="preserve">Gdy żywica przestała wsiąkać, dopełnić rynienki żywicą do zakrycia osadu. Pozostawić do stwardnienia pod wyciągiem.</w:t>
      </w:r>
    </w:p>
    <w:p>
      <w:pPr>
        <w:numPr>
          <w:ilvl w:val="0"/>
          <w:numId w:val="1008"/>
        </w:numPr>
      </w:pPr>
      <w:r>
        <w:t xml:space="preserve">Opcjonalnie, po wstępnym stężeniu żywicy, nie wcześniej niż na drugi dzień, wstawić sztabki do suszarki ustawionej na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Po związaniu i stwardnieniu żywicy zerwać zewnętrzną warstwę aluminium lub wyjąć sztabki z form silikonowych.</w:t>
      </w:r>
    </w:p>
    <w:p>
      <w:pPr>
        <w:numPr>
          <w:ilvl w:val="0"/>
          <w:numId w:val="1008"/>
        </w:numPr>
      </w:pPr>
      <w:r>
        <w:t xml:space="preserve">Na boku przeciwległym do etykiety wykonanej rysikiem opisać sztabkę pisakiem.</w:t>
      </w:r>
    </w:p>
    <w:p>
      <w:pPr>
        <w:numPr>
          <w:ilvl w:val="0"/>
          <w:numId w:val="1008"/>
        </w:numPr>
      </w:pPr>
      <w:r>
        <w:t xml:space="preserve">Zaimpregnowane próbki zabezpieczyć i spakować.</w:t>
      </w:r>
      <w:p>
        <w:r>
          <w:br w:type="page"/>
        </w:r>
      </w:p>
    </w:p>
    <w:bookmarkEnd w:id="28"/>
    <w:bookmarkEnd w:id="29"/>
    <w:bookmarkStart w:id="30" w:name="załącznik-1"/>
    <w:p>
      <w:pPr>
        <w:pStyle w:val="Heading2"/>
      </w:pPr>
      <w:r>
        <w:t xml:space="preserve">Załącznik 1</w:t>
      </w:r>
    </w:p>
    <w:p>
      <w:pPr>
        <w:pStyle w:val="FirstParagraph"/>
      </w:pPr>
      <w:r>
        <w:rPr>
          <w:bCs/>
          <w:b/>
        </w:rPr>
        <w:t xml:space="preserve">Tabela 1.</w:t>
      </w:r>
      <w:r>
        <w:t xml:space="preserve"> </w:t>
      </w:r>
      <w:r>
        <w:t xml:space="preserve">Masa komponentów żywicy Araldite 2020 wykorzystywanych przy przygotowywaniu sztabek osadów. Masa wyrażona w 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6"/>
        <w:gridCol w:w="976"/>
        <w:gridCol w:w="650"/>
        <w:gridCol w:w="976"/>
        <w:gridCol w:w="976"/>
        <w:gridCol w:w="650"/>
        <w:gridCol w:w="976"/>
        <w:gridCol w:w="976"/>
        <w:gridCol w:w="75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128.7</w:t>
            </w:r>
          </w:p>
        </w:tc>
      </w:tr>
    </w:tbl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Maurycy Żarczyński 2022-12-08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2022-12-08T21:26:07Z</dcterms:created>
  <dcterms:modified xsi:type="dcterms:W3CDTF">2022-12-08T21:26:07Z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