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34" w:name="X7f68daa9a66e36006559486b5b48e9d7a6f51d0"/>
    <w:p>
      <w:pPr>
        <w:pStyle w:val="Heading1"/>
      </w:pPr>
      <w:r>
        <w:t xml:space="preserve">Analiza TIC: całkowity węgiel nieorganiczny metodą Scheiblera</w:t>
      </w:r>
    </w:p>
    <w:bookmarkStart w:id="24" w:name="przygotowanie-materiału"/>
    <w:p>
      <w:pPr>
        <w:pStyle w:val="Heading2"/>
      </w:pPr>
      <w:r>
        <w:t xml:space="preserve">Przygotowanie materiału</w:t>
      </w:r>
    </w:p>
    <w:p>
      <w:pPr>
        <w:numPr>
          <w:ilvl w:val="0"/>
          <w:numId w:val="1001"/>
        </w:numPr>
      </w:pPr>
      <w:r>
        <w:t xml:space="preserve">Mokry materiał przechowywać do czasu wykonania analiz w lodówce lub chłodni.</w:t>
      </w:r>
    </w:p>
    <w:p>
      <w:pPr>
        <w:numPr>
          <w:ilvl w:val="0"/>
          <w:numId w:val="1001"/>
        </w:numPr>
      </w:pPr>
      <w:r>
        <w:t xml:space="preserve">Ponumerować i opisać ołówkiem lub specjalnym pisakiem porcelanowe tygle.</w:t>
      </w:r>
    </w:p>
    <w:p>
      <w:pPr>
        <w:numPr>
          <w:ilvl w:val="0"/>
          <w:numId w:val="1001"/>
        </w:numPr>
      </w:pPr>
      <w:r>
        <w:t xml:space="preserve">Przenieść do tygla określoną ilość osadu: około</w:t>
      </w:r>
      <w:r>
        <w:t xml:space="preserve"> </w:t>
      </w:r>
      <w:r>
        <w:rPr>
          <w:bCs/>
          <w:b/>
        </w:rPr>
        <w:t xml:space="preserve">10 g</w:t>
      </w:r>
      <w:r>
        <w:t xml:space="preserve"> </w:t>
      </w:r>
      <w:r>
        <w:t xml:space="preserve">lub do połowy tygla.</w:t>
      </w:r>
    </w:p>
    <w:p>
      <w:pPr>
        <w:numPr>
          <w:ilvl w:val="0"/>
          <w:numId w:val="1001"/>
        </w:numPr>
      </w:pPr>
      <w:r>
        <w:t xml:space="preserve">Zważyć tygle wraz z mokrym osadem i zapisać masę w formularzu.</w:t>
      </w:r>
    </w:p>
    <w:p>
      <w:pPr>
        <w:numPr>
          <w:ilvl w:val="0"/>
          <w:numId w:val="1001"/>
        </w:numPr>
      </w:pPr>
      <w:r>
        <w:t xml:space="preserve">Zaprogramować suszarkę na temperaturę</w:t>
      </w:r>
      <w:r>
        <w:t xml:space="preserve"> </w:t>
      </w:r>
      <w:r>
        <w:rPr>
          <w:bCs/>
          <w:b/>
        </w:rPr>
        <w:t xml:space="preserve">105 °C</w:t>
      </w:r>
      <w:r>
        <w:t xml:space="preserve"> </w:t>
      </w:r>
      <w:r>
        <w:t xml:space="preserve">bez limitu czasowego.</w:t>
      </w:r>
    </w:p>
    <w:p>
      <w:pPr>
        <w:numPr>
          <w:ilvl w:val="0"/>
          <w:numId w:val="1001"/>
        </w:numPr>
      </w:pPr>
      <w:r>
        <w:t xml:space="preserve">Wstawić przygotowane próbki i suszyć</w:t>
      </w:r>
      <w:r>
        <w:t xml:space="preserve"> </w:t>
      </w:r>
      <w:r>
        <w:rPr>
          <w:bCs/>
          <w:b/>
        </w:rPr>
        <w:t xml:space="preserve">24 godziny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Po wystawieniu z suszarki próbki wystudzić do temperatury pokojowej.</w:t>
      </w:r>
    </w:p>
    <w:p>
      <w:pPr>
        <w:numPr>
          <w:ilvl w:val="0"/>
          <w:numId w:val="1001"/>
        </w:numPr>
      </w:pPr>
      <w:r>
        <w:t xml:space="preserve">Następnie zważyć parownice z suchym osadem i zapisać masę w formularzu.</w:t>
      </w:r>
    </w:p>
    <w:bookmarkEnd w:id="24"/>
    <w:bookmarkStart w:id="28" w:name="pomiary-zawartości-węgla-nieorganicznego"/>
    <w:p>
      <w:pPr>
        <w:pStyle w:val="Heading2"/>
      </w:pPr>
      <w:r>
        <w:t xml:space="preserve">Pomiary zawartości węgla nieorganicznego</w:t>
      </w:r>
    </w:p>
    <w:bookmarkStart w:id="25" w:name="przygotowanie-próbki"/>
    <w:p>
      <w:pPr>
        <w:pStyle w:val="Heading3"/>
      </w:pPr>
      <w:r>
        <w:t xml:space="preserve">Przygotowanie próbki</w:t>
      </w:r>
    </w:p>
    <w:p>
      <w:pPr>
        <w:numPr>
          <w:ilvl w:val="0"/>
          <w:numId w:val="1002"/>
        </w:numPr>
      </w:pPr>
      <w:r>
        <w:t xml:space="preserve">Po wysuszeniu próbek rozetrzeć osad w moździerzu.</w:t>
      </w:r>
    </w:p>
    <w:p>
      <w:pPr>
        <w:numPr>
          <w:ilvl w:val="0"/>
          <w:numId w:val="1002"/>
        </w:numPr>
      </w:pPr>
      <w:r>
        <w:t xml:space="preserve">Przesiać osad przez sito o średnicy oczek</w:t>
      </w:r>
      <w:r>
        <w:t xml:space="preserve"> </w:t>
      </w:r>
      <w:r>
        <w:rPr>
          <w:bCs/>
          <w:b/>
        </w:rPr>
        <w:t xml:space="preserve">100 µm</w:t>
      </w:r>
      <w:r>
        <w:t xml:space="preserve"> </w:t>
      </w:r>
      <w:r>
        <w:t xml:space="preserve">na przykład na plastikowy talerz lub kartkę papieru.</w:t>
      </w:r>
    </w:p>
    <w:p>
      <w:pPr>
        <w:numPr>
          <w:ilvl w:val="0"/>
          <w:numId w:val="1002"/>
        </w:numPr>
      </w:pPr>
      <w:r>
        <w:t xml:space="preserve">Przygotować szkiełko zagarkowe i wytarować wagę laboratoryjną:</w:t>
      </w:r>
    </w:p>
    <w:p>
      <w:pPr>
        <w:numPr>
          <w:ilvl w:val="1"/>
          <w:numId w:val="1003"/>
        </w:numPr>
      </w:pPr>
      <w:r>
        <w:t xml:space="preserve">Włączyć wagę i poczekać na stabilizację.</w:t>
      </w:r>
    </w:p>
    <w:p>
      <w:pPr>
        <w:numPr>
          <w:ilvl w:val="1"/>
          <w:numId w:val="1003"/>
        </w:numPr>
      </w:pPr>
      <w:r>
        <w:t xml:space="preserve">Położyć na szalce wagi szkiełko i wcisnąć przycisk</w:t>
      </w:r>
      <w:r>
        <w:t xml:space="preserve"> </w:t>
      </w:r>
      <w:r>
        <w:rPr>
          <w:rStyle w:val="VerbatimChar"/>
        </w:rPr>
        <w:t xml:space="preserve">Tare</w:t>
      </w:r>
    </w:p>
    <w:p>
      <w:pPr>
        <w:numPr>
          <w:ilvl w:val="0"/>
          <w:numId w:val="1002"/>
        </w:numPr>
      </w:pPr>
      <w:r>
        <w:t xml:space="preserve">Z osadu, który został odsiany (</w:t>
      </w:r>
      <w:r>
        <w:rPr>
          <w:bCs/>
          <w:b/>
        </w:rPr>
        <w:t xml:space="preserve">&lt; 100 µm</w:t>
      </w:r>
      <w:r>
        <w:t xml:space="preserve">), odważyć odpowiednią ilość materiału i zapisać wynik.</w:t>
      </w:r>
    </w:p>
    <w:p>
      <w:pPr>
        <w:numPr>
          <w:ilvl w:val="0"/>
          <w:numId w:val="1002"/>
        </w:numPr>
      </w:pPr>
      <w:r>
        <w:t xml:space="preserve">Pozostały na sicie materiał wsypać z powrotem do wcześniej opróżnionego tygielka (zapasowy materiał pomiarowy).</w:t>
      </w:r>
    </w:p>
    <w:p>
      <w:pPr>
        <w:numPr>
          <w:ilvl w:val="0"/>
          <w:numId w:val="1002"/>
        </w:numPr>
      </w:pPr>
      <w:r>
        <w:t xml:space="preserve">Odpowiednia ilość oznacza:</w:t>
      </w:r>
    </w:p>
    <w:p>
      <w:pPr>
        <w:numPr>
          <w:ilvl w:val="1"/>
          <w:numId w:val="1004"/>
        </w:numPr>
      </w:pPr>
      <w:r>
        <w:t xml:space="preserve">Osady o stosunkowo małej orientacyjnej zawartości węglanów (</w:t>
      </w:r>
      <w:r>
        <w:rPr>
          <w:bCs/>
          <w:b/>
        </w:rPr>
        <w:t xml:space="preserve">kilka do kilkunastu %</w:t>
      </w:r>
      <w:r>
        <w:t xml:space="preserve">, czyli dla piasków i glin lodowcowych): około</w:t>
      </w:r>
      <w:r>
        <w:t xml:space="preserve"> </w:t>
      </w:r>
      <w:r>
        <w:rPr>
          <w:bCs/>
          <w:b/>
        </w:rPr>
        <w:t xml:space="preserve">1.0 g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Osady o stosunkowo dużej orientacyjnej zawartości węglanów (</w:t>
      </w:r>
      <w:r>
        <w:rPr>
          <w:bCs/>
          <w:b/>
        </w:rPr>
        <w:t xml:space="preserve">kilkadziesiąt %</w:t>
      </w:r>
      <w:r>
        <w:t xml:space="preserve">, dla gytii węglanowych, kredy jeziornej, często także dla mułków i iłów): nie więcej niż około</w:t>
      </w:r>
      <w:r>
        <w:t xml:space="preserve"> </w:t>
      </w:r>
      <w:r>
        <w:rPr>
          <w:bCs/>
          <w:b/>
        </w:rPr>
        <w:t xml:space="preserve">0.2 g</w:t>
      </w:r>
      <w:r>
        <w:t xml:space="preserve">.</w:t>
      </w:r>
    </w:p>
    <w:bookmarkEnd w:id="25"/>
    <w:bookmarkStart w:id="27" w:name="praca-z-aparatem"/>
    <w:p>
      <w:pPr>
        <w:pStyle w:val="Heading3"/>
      </w:pPr>
      <w:r>
        <w:t xml:space="preserve">Praca z aparatem</w:t>
      </w:r>
    </w:p>
    <w:p>
      <w:pPr>
        <w:numPr>
          <w:ilvl w:val="0"/>
          <w:numId w:val="1005"/>
        </w:numPr>
      </w:pPr>
      <w:r>
        <w:t xml:space="preserve">Opłukać kolbę aparatu Scheiblera zimną wodą z tryskawki, tak aby wlot do kolby pozostał wilgotny.</w:t>
      </w:r>
    </w:p>
    <w:p>
      <w:pPr>
        <w:numPr>
          <w:ilvl w:val="0"/>
          <w:numId w:val="1005"/>
        </w:numPr>
      </w:pPr>
      <w:r>
        <w:t xml:space="preserve">Wsypać próbkę ze szkiełka zegarkowego do kolby, starając się, aby osad trafił bezpośrednio na dno kolby, a nie pozostawał na ściankach i wlocie naczynia.</w:t>
      </w:r>
    </w:p>
    <w:p>
      <w:pPr>
        <w:numPr>
          <w:ilvl w:val="0"/>
          <w:numId w:val="1005"/>
        </w:numPr>
      </w:pPr>
      <w:r>
        <w:t xml:space="preserve">Nabrać</w:t>
      </w:r>
      <w:r>
        <w:t xml:space="preserve"> </w:t>
      </w:r>
      <w:r>
        <w:rPr>
          <w:bCs/>
          <w:b/>
        </w:rPr>
        <w:t xml:space="preserve">HCl 10%</w:t>
      </w:r>
      <w:r>
        <w:t xml:space="preserve"> </w:t>
      </w:r>
      <w:r>
        <w:t xml:space="preserve">do dużej pipety</w:t>
      </w:r>
      <w:r>
        <w:t xml:space="preserve"> </w:t>
      </w:r>
      <w:r>
        <w:rPr>
          <w:bCs/>
          <w:b/>
        </w:rPr>
        <w:t xml:space="preserve">5 ml</w:t>
      </w:r>
      <w:r>
        <w:t xml:space="preserve"> </w:t>
      </w:r>
      <w:r>
        <w:t xml:space="preserve">i wlać do zbiorniczka aparatu kwas, po czym zwilżyć gumowy korek i nie rozlewając kwasu w zbiorniczku szczelnie zamknąć wylot kolby.</w:t>
      </w:r>
    </w:p>
    <w:p>
      <w:pPr>
        <w:numPr>
          <w:ilvl w:val="0"/>
          <w:numId w:val="1005"/>
        </w:numPr>
      </w:pPr>
      <w:r>
        <w:t xml:space="preserve">Przekręcić kranik zaworu trójdzielnego w prawo, tak aby przepływ powietrza odbywał się pomiędzy otoczeniem a zamkniętym obiegiem zbiorniczków, po czym przekręcić kranik w lewo, tak aby obieg powietrza pozostał zamknięty, czynność powtórzyć kilka razy, aż do wyrównania ciśnienia płynu w zbiorniku pomiarowym i w zbiorniku buforowym (poziom płynu powinien znajdować się na jednakowym poziomie w obu zbiorniczkach).</w:t>
      </w:r>
    </w:p>
    <w:p>
      <w:pPr>
        <w:numPr>
          <w:ilvl w:val="0"/>
          <w:numId w:val="1005"/>
        </w:numPr>
      </w:pPr>
      <w:r>
        <w:t xml:space="preserve">Przekręcić kranik zaworu w lewo (zamknięty obieg powietrza pomiędzy zbiornikiem pomiarowym a zbiornikiem z próbką) i tak pozostawić do końca analizy.</w:t>
      </w:r>
    </w:p>
    <w:p>
      <w:pPr>
        <w:numPr>
          <w:ilvl w:val="0"/>
          <w:numId w:val="1005"/>
        </w:numPr>
      </w:pPr>
      <w:r>
        <w:t xml:space="preserve">Odczytać i zapisać poziom początkowy płynu w zbiorniku pomiarowym (podziałka wyskalowana jest co 0.2 cm</w:t>
      </w:r>
      <w:r>
        <w:rPr>
          <w:vertAlign w:val="superscript"/>
        </w:rPr>
        <w:t xml:space="preserve">3</w:t>
      </w:r>
      <w:r>
        <w:t xml:space="preserve">, tyle wynosi odległość pomiędzy krótkimi kreskami skali).</w:t>
      </w:r>
    </w:p>
    <w:p>
      <w:pPr>
        <w:numPr>
          <w:ilvl w:val="0"/>
          <w:numId w:val="1000"/>
        </w:numPr>
        <w:pStyle w:val="BlockText"/>
      </w:pPr>
      <w:r>
        <w:t xml:space="preserve">W przypadku próbek o dużej orientacyjnej zawartości węglanów należy zbiorniki napełnić maksymalnie, gdyż w czasie analizy takich próbek ilość wydzielającego się CO</w:t>
      </w:r>
      <w:r>
        <w:rPr>
          <w:vertAlign w:val="subscript"/>
        </w:rPr>
        <w:t xml:space="preserve">2</w:t>
      </w:r>
      <w:r>
        <w:t xml:space="preserve">, a co za tym idzie zmiany poziomu płynów w zbiornikach są bardzo duże.</w:t>
      </w:r>
    </w:p>
    <w:p>
      <w:pPr>
        <w:numPr>
          <w:ilvl w:val="0"/>
          <w:numId w:val="1005"/>
        </w:numPr>
      </w:pPr>
      <w:r>
        <w:t xml:space="preserve">Po przechyleniu kolby z próbką stopniowo wylewać HCl, wstrząsnąć i mieszać kolbą dopóki poziom płynu w zbiorniku pomiarowym zacznie opadać (kilkanaście sekund).</w:t>
      </w:r>
    </w:p>
    <w:p>
      <w:pPr>
        <w:numPr>
          <w:ilvl w:val="0"/>
          <w:numId w:val="1000"/>
        </w:numPr>
        <w:pStyle w:val="BlockText"/>
      </w:pPr>
      <w:r>
        <w:t xml:space="preserve">W efekcie reakcji HCl z osadem w zbiorniku pomiarowym ciśnienie powietrza zostanie powiększone o ciśnienie gazu (CO</w:t>
      </w:r>
      <w:r>
        <w:rPr>
          <w:vertAlign w:val="subscript"/>
        </w:rPr>
        <w:t xml:space="preserve">2</w:t>
      </w:r>
      <w:r>
        <w:t xml:space="preserve">), który się wydzielił.</w:t>
      </w:r>
    </w:p>
    <w:p>
      <w:pPr>
        <w:numPr>
          <w:ilvl w:val="0"/>
          <w:numId w:val="1005"/>
        </w:numPr>
      </w:pPr>
      <w:r>
        <w:t xml:space="preserve">Następnie należy wyrównać ciśnienia w obu zbiornikach poprzez niewielkie otwarcie kranika zamykającego dopływ ze zbiornika buforowego do zbiornika zapasowego. Po otwarciu zaworu, poziom płynu w zbiorniku buforowym powinien opadać powoli; należy odczekać aż poziomy w zbiornikach buforowym i pomiarowym osiągną zbliżoną wartość wówczas natychmiast zatrzymać spuszczanie płynu buforowego zakręcając kranik łączący zbiornik buforowy ze zbiornikiem pomiarowym.</w:t>
      </w:r>
    </w:p>
    <w:p>
      <w:pPr>
        <w:numPr>
          <w:ilvl w:val="0"/>
          <w:numId w:val="1005"/>
        </w:numPr>
      </w:pPr>
      <w:r>
        <w:t xml:space="preserve">Po wyrównaniu ciśnień odczytać wynik końcowy (poziom płynu) w zbiorniku (biurecie) pomiarowym.</w:t>
      </w:r>
    </w:p>
    <w:p>
      <w:pPr>
        <w:numPr>
          <w:ilvl w:val="0"/>
          <w:numId w:val="1000"/>
        </w:numPr>
        <w:pStyle w:val="BlockText"/>
      </w:pPr>
      <w:r>
        <w:t xml:space="preserve">Różnica poziomu początkowego i końcowego świadczy o ilości CO</w:t>
      </w:r>
      <w:r>
        <w:rPr>
          <w:vertAlign w:val="subscript"/>
        </w:rPr>
        <w:t xml:space="preserve">2</w:t>
      </w:r>
      <w:r>
        <w:t xml:space="preserve">, który wydzielił się w reakcji, a tym samym zawartości CaCO</w:t>
      </w:r>
      <w:r>
        <w:rPr>
          <w:vertAlign w:val="subscript"/>
        </w:rPr>
        <w:t xml:space="preserve">3</w:t>
      </w:r>
      <w:r>
        <w:t xml:space="preserve"> </w:t>
      </w:r>
      <w:r>
        <w:t xml:space="preserve">w osadzie.</w:t>
      </w:r>
    </w:p>
    <w:p>
      <w:pPr>
        <w:numPr>
          <w:ilvl w:val="0"/>
          <w:numId w:val="1005"/>
        </w:numPr>
      </w:pPr>
      <w:r>
        <w:t xml:space="preserve">Otworzyć kolbę z próbką i odczytać przy pomocy termometru temperaturę w kolbie pomiarowej.</w:t>
      </w:r>
    </w:p>
    <w:p>
      <w:pPr>
        <w:numPr>
          <w:ilvl w:val="0"/>
          <w:numId w:val="1005"/>
        </w:numPr>
      </w:pPr>
      <w:r>
        <w:t xml:space="preserve">Zapisać godzinę pomiaru, tak aby wyznaczyć przy pomocy dodatkowych źródeł informacji wartość ciśnienia atmosferycznego w mm Hg w danym czasie:</w:t>
      </w:r>
    </w:p>
    <w:p>
      <w:pPr>
        <w:numPr>
          <w:ilvl w:val="1"/>
          <w:numId w:val="1006"/>
        </w:numPr>
      </w:pPr>
      <w:r>
        <w:t xml:space="preserve">Barometr w laboratorium.</w:t>
      </w:r>
    </w:p>
    <w:p>
      <w:pPr>
        <w:numPr>
          <w:ilvl w:val="1"/>
          <w:numId w:val="1006"/>
        </w:numPr>
      </w:pPr>
      <w:r>
        <w:t xml:space="preserve">W Internecie:</w:t>
      </w:r>
    </w:p>
    <w:p>
      <w:pPr>
        <w:numPr>
          <w:ilvl w:val="2"/>
          <w:numId w:val="1007"/>
        </w:numPr>
      </w:pPr>
      <w:r>
        <w:t xml:space="preserve">Aktualne ciśnienie na kampusie Oliwa wyrażone w hPa</w:t>
      </w:r>
    </w:p>
    <w:p>
      <w:pPr>
        <w:numPr>
          <w:ilvl w:val="2"/>
          <w:numId w:val="1000"/>
        </w:numPr>
      </w:pPr>
      <w:hyperlink r:id="rId26">
        <w:r>
          <w:rPr>
            <w:rStyle w:val="Hyperlink"/>
          </w:rPr>
          <w:t xml:space="preserve">https://klimat.ug.edu.pl/?page_id=3261</w:t>
        </w:r>
      </w:hyperlink>
    </w:p>
    <w:p>
      <w:pPr>
        <w:numPr>
          <w:ilvl w:val="0"/>
          <w:numId w:val="1005"/>
        </w:numPr>
      </w:pPr>
      <w:r>
        <w:rPr>
          <w:bCs/>
          <w:b/>
        </w:rPr>
        <w:t xml:space="preserve">Po zakończeniu</w:t>
      </w:r>
      <w:r>
        <w:t xml:space="preserve"> </w:t>
      </w:r>
      <w:r>
        <w:t xml:space="preserve">analizy kilku próbek, gdy pozostanie w biuretach niewiele płynu, otworzyć kranik oddzielający biuretę buforową i zbiornik zapasowy i trzymając na wysokim poziomie zbiornik zapasowy uzupełnić zapas płynu w obu zbiornikach, aparat należy również pozostawić w takim stanie po zakończeniu analiz. Gdy zbiorniki się napełnią, zamknąć zawór.</w:t>
      </w:r>
    </w:p>
    <w:p>
      <w:pPr>
        <w:numPr>
          <w:ilvl w:val="0"/>
          <w:numId w:val="1005"/>
        </w:numPr>
      </w:pPr>
      <w:r>
        <w:t xml:space="preserve">Kolbę wypłukać wodą z kranu a następnie wodą dejonizowaną, najlepiej dopiero po przygotowaniu następnej próbki. Wówczas przy jej zamykaniu wlot będzie jeszcze wilgotny i nie trzeba go będzie ponownie zwilżać.</w:t>
      </w:r>
    </w:p>
    <w:bookmarkEnd w:id="27"/>
    <w:bookmarkEnd w:id="28"/>
    <w:bookmarkStart w:id="32" w:name="X300c6b2b327b98956265d23588cbb21b7e737d5"/>
    <w:p>
      <w:pPr>
        <w:pStyle w:val="Heading2"/>
      </w:pPr>
      <w:r>
        <w:t xml:space="preserve">Obliczanie koncentracji węgla nieorganicznego</w:t>
      </w:r>
    </w:p>
    <w:p>
      <w:pPr>
        <w:pStyle w:val="FirstParagraph"/>
      </w:pPr>
      <w:r>
        <w:t xml:space="preserve">Procentową zawartość CaCO</w:t>
      </w:r>
      <w:r>
        <w:rPr>
          <w:vertAlign w:val="subscript"/>
        </w:rPr>
        <w:t xml:space="preserve">3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oblicza się według wzoru: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a</m:t>
          </m:r>
          <m:r>
            <m:t>C</m:t>
          </m:r>
          <m:sSub>
            <m:e>
              <m:r>
                <m:t>O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V</m:t>
              </m:r>
              <m:r>
                <m:t>t</m:t>
              </m:r>
              <m:r>
                <m:rPr>
                  <m:sty m:val="p"/>
                </m:rPr>
                <m:t>*</m:t>
              </m:r>
              <m:r>
                <m:t>µ</m:t>
              </m:r>
            </m:e>
          </m:d>
          <m:r>
            <m:rPr>
              <m:sty m:val="p"/>
            </m:rPr>
            <m:t>/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*</m:t>
              </m:r>
              <m:r>
                <m:t>10</m:t>
              </m:r>
            </m:e>
          </m:d>
        </m:oMath>
      </m:oMathPara>
    </w:p>
    <w:p>
      <w:pPr>
        <w:pStyle w:val="FirstParagraph"/>
      </w:pPr>
      <w:r>
        <w:t xml:space="preserve">gdzie:</w:t>
      </w:r>
    </w:p>
    <w:p>
      <w:pPr>
        <w:pStyle w:val="BodyText"/>
      </w:pPr>
      <w:r>
        <w:rPr>
          <w:bCs/>
          <w:b/>
        </w:rPr>
        <w:t xml:space="preserve">CaCO</w:t>
      </w:r>
      <w:r>
        <w:rPr>
          <w:vertAlign w:val="subscript"/>
          <w:bCs/>
          <w:b/>
        </w:rPr>
        <w:t xml:space="preserve">3</w:t>
      </w:r>
      <w:r>
        <w:t xml:space="preserve">: koncentracja węgla nieorganicznego (CaCO</w:t>
      </w:r>
      <w:r>
        <w:rPr>
          <w:vertAlign w:val="subscript"/>
        </w:rPr>
        <w:t xml:space="preserve">3</w:t>
      </w:r>
      <w:r>
        <w:t xml:space="preserve">);</w:t>
      </w:r>
    </w:p>
    <w:p>
      <w:pPr>
        <w:pStyle w:val="BodyText"/>
      </w:pPr>
      <w:r>
        <w:rPr>
          <w:bCs/>
          <w:b/>
        </w:rPr>
        <w:t xml:space="preserve">Vt</w:t>
      </w:r>
      <w:r>
        <w:t xml:space="preserve">: różnica objętości pomiędzy poziomem początkowym płynu w biurecie pomiarowej a poziomem końcowym, wyrażona w cm</w:t>
      </w:r>
      <w:r>
        <w:rPr>
          <w:vertAlign w:val="superscript"/>
        </w:rPr>
        <w:t xml:space="preserve">3</w:t>
      </w:r>
      <w:r>
        <w:t xml:space="preserve">;</w:t>
      </w:r>
    </w:p>
    <w:p>
      <w:pPr>
        <w:pStyle w:val="BodyText"/>
      </w:pPr>
      <w:r>
        <w:rPr>
          <w:bCs/>
          <w:b/>
        </w:rPr>
        <w:t xml:space="preserve">µ</w:t>
      </w:r>
      <w:r>
        <w:t xml:space="preserve">: masa CaCO</w:t>
      </w:r>
      <w:r>
        <w:rPr>
          <w:vertAlign w:val="subscript"/>
        </w:rPr>
        <w:t xml:space="preserve">3</w:t>
      </w:r>
      <w:r>
        <w:t xml:space="preserve">; (mg/cm</w:t>
      </w:r>
      <w:r>
        <w:rPr>
          <w:vertAlign w:val="superscript"/>
        </w:rPr>
        <w:t xml:space="preserve">3</w:t>
      </w:r>
      <w:r>
        <w:t xml:space="preserve">), odpowiadająca wydzielającemu się CO</w:t>
      </w:r>
      <w:r>
        <w:rPr>
          <w:vertAlign w:val="subscript"/>
        </w:rPr>
        <w:t xml:space="preserve">2</w:t>
      </w:r>
      <w:r>
        <w:t xml:space="preserve">, w danej temperaturze i ciśnieniu (Tab. 1);</w:t>
      </w:r>
    </w:p>
    <w:p>
      <w:pPr>
        <w:pStyle w:val="BodyText"/>
      </w:pPr>
      <w:r>
        <w:rPr>
          <w:bCs/>
          <w:b/>
        </w:rPr>
        <w:t xml:space="preserve">a</w:t>
      </w:r>
      <w:r>
        <w:t xml:space="preserve">: masa próbki (g).</w:t>
      </w:r>
    </w:p>
    <w:p>
      <w:pPr>
        <w:pStyle w:val="BodyText"/>
      </w:pPr>
      <w:r>
        <w:t xml:space="preserve">Tab. 1 Masa CaCO</w:t>
      </w:r>
      <w:r>
        <w:rPr>
          <w:vertAlign w:val="subscript"/>
        </w:rPr>
        <w:t xml:space="preserve">3</w:t>
      </w:r>
      <w:r>
        <w:t xml:space="preserve"> </w:t>
      </w:r>
      <w:r>
        <w:t xml:space="preserve">(µ w mg/cm</w:t>
      </w:r>
      <w:r>
        <w:rPr>
          <w:vertAlign w:val="superscript"/>
        </w:rPr>
        <w:t xml:space="preserve">3</w:t>
      </w:r>
      <w:r>
        <w:t xml:space="preserve">) odpowiadająca wydzielającemu się CO</w:t>
      </w:r>
      <w:r>
        <w:rPr>
          <w:vertAlign w:val="subscript"/>
        </w:rPr>
        <w:t xml:space="preserve">2</w:t>
      </w:r>
      <w:r>
        <w:t xml:space="preserve">, w danej temperaturze (t)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i ciśnieniu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(wg. Scheiblera); Myślińska 2001.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774.0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4.436.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4.493</w:t>
            </w:r>
          </w:p>
        </w:tc>
      </w:tr>
    </w:tbl>
    <w:bookmarkEnd w:id="32"/>
    <w:bookmarkStart w:id="33" w:name="pagebreak-rejestr-zmian"/>
    <w:p>
      <w:pPr>
        <w:pStyle w:val="Heading2"/>
      </w:pPr>
      <w:p>
        <w:r>
          <w:br w:type="page"/>
        </w:r>
      </w:p>
      <w:r>
        <w:t xml:space="preserve">Rejestr zmian</w:t>
      </w:r>
    </w:p>
    <w:p>
      <w:pPr>
        <w:pStyle w:val="FirstParagraph"/>
      </w:pPr>
      <w:r>
        <w:t xml:space="preserve">01.12.2022, MZ – wersja inicjalna Quarto. Rozwinięcie treści.</w:t>
      </w:r>
    </w:p>
    <w:p>
      <w:pPr>
        <w:pStyle w:val="BodyText"/>
      </w:pPr>
      <w:r>
        <w:t xml:space="preserve">Piotr Paweł Woźniak, Karolina Molisak, Maurycy Żarczyński 2022-12-10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Należy wziąć pod uwagę, że współczesne badania wskazują, że węglan wapnia (CaCO</w:t>
      </w:r>
      <w:r>
        <w:rPr>
          <w:vertAlign w:val="subscript"/>
        </w:rPr>
        <w:t xml:space="preserve">3</w:t>
      </w:r>
      <w:r>
        <w:t xml:space="preserve">) nie jest jedynym węglanem tworzącym osady. Jest to szczególnie istotne w przypadku osadów jeziornych.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Temperatura w °C.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Ciśnienie w mm Hg.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Relationship Type="http://schemas.openxmlformats.org/officeDocument/2006/relationships/hyperlink" Id="rId26" Target="https://klimat.ug.edu.pl/?page_id=326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Relationship Type="http://schemas.openxmlformats.org/officeDocument/2006/relationships/hyperlink" Id="rId26" Target="https://klimat.ug.edu.pl/?page_id=326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2022-12-10T18:48:26Z</dcterms:created>
  <dcterms:modified xsi:type="dcterms:W3CDTF">2022-12-10T18:48:26Z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heme">
    <vt:lpwstr/>
  </property>
  <property fmtid="{D5CDD505-2E9C-101B-9397-08002B2CF9AE}" pid="10" name="toc-title">
    <vt:lpwstr>Table of contents</vt:lpwstr>
  </property>
</Properties>
</file>