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color w:val="1F4E79"/>
          <w:sz w:val="48"/>
        </w:rPr>
        <w:t>FL-04 – Ship an Automation Workflow v2</w:t>
      </w:r>
    </w:p>
    <w:p>
      <w:pPr>
        <w:spacing w:after="320"/>
      </w:pPr>
      <w:r>
        <w:rPr>
          <w:rFonts w:ascii="Arial" w:hAnsi="Arial"/>
          <w:i/>
          <w:color w:val="595959"/>
          <w:sz w:val="28"/>
        </w:rPr>
        <w:t>End-to-End No-Code Writing &amp; Research Automation Pipeline</w:t>
      </w:r>
    </w:p>
    <w:p>
      <w:pPr>
        <w:spacing w:before="240" w:after="80"/>
      </w:pPr>
      <w:r>
        <w:rPr>
          <w:rFonts w:ascii="Arial" w:hAnsi="Arial"/>
          <w:b/>
          <w:color w:val="1F4E79"/>
          <w:sz w:val="26"/>
        </w:rPr>
        <w:t>Metadata</w:t>
      </w:r>
    </w:p>
    <w:p>
      <w:pPr>
        <w:spacing w:after="120" w:line="276" w:lineRule="auto"/>
      </w:pPr>
      <w:r>
        <w:rPr>
          <w:rFonts w:ascii="Calibri" w:hAnsi="Calibri"/>
          <w:b/>
          <w:color w:val="262626"/>
          <w:sz w:val="22"/>
        </w:rPr>
        <w:t xml:space="preserve">Author: </w:t>
      </w:r>
      <w:r>
        <w:rPr>
          <w:rFonts w:ascii="Calibri" w:hAnsi="Calibri"/>
          <w:i w:val="0"/>
          <w:color w:val="262626"/>
          <w:sz w:val="22"/>
        </w:rPr>
        <w:t>Muhammad Zayan</w:t>
      </w:r>
    </w:p>
    <w:p>
      <w:pPr>
        <w:spacing w:after="120" w:line="276" w:lineRule="auto"/>
      </w:pPr>
      <w:r>
        <w:rPr>
          <w:rFonts w:ascii="Calibri" w:hAnsi="Calibri"/>
          <w:b/>
          <w:color w:val="262626"/>
          <w:sz w:val="22"/>
        </w:rPr>
        <w:t xml:space="preserve">Track: </w:t>
      </w:r>
      <w:r>
        <w:rPr>
          <w:rFonts w:ascii="Calibri" w:hAnsi="Calibri"/>
          <w:i w:val="0"/>
          <w:color w:val="262626"/>
          <w:sz w:val="22"/>
        </w:rPr>
        <w:t>General AI Fluency / Machine Learning Internship</w:t>
      </w:r>
    </w:p>
    <w:p>
      <w:pPr>
        <w:spacing w:after="120" w:line="276" w:lineRule="auto"/>
      </w:pPr>
      <w:r>
        <w:rPr>
          <w:rFonts w:ascii="Calibri" w:hAnsi="Calibri"/>
          <w:b/>
          <w:color w:val="262626"/>
          <w:sz w:val="22"/>
        </w:rPr>
        <w:t xml:space="preserve">Assignment ID: </w:t>
      </w:r>
      <w:r>
        <w:rPr>
          <w:rFonts w:ascii="Calibri" w:hAnsi="Calibri"/>
          <w:i w:val="0"/>
          <w:color w:val="262626"/>
          <w:sz w:val="22"/>
        </w:rPr>
        <w:t>FL-04 (Ship an Automation Workflow v2)</w:t>
      </w:r>
    </w:p>
    <w:p>
      <w:pPr>
        <w:spacing w:after="120" w:line="276" w:lineRule="auto"/>
      </w:pPr>
      <w:r>
        <w:rPr>
          <w:rFonts w:ascii="Calibri" w:hAnsi="Calibri"/>
          <w:b/>
          <w:color w:val="262626"/>
          <w:sz w:val="22"/>
        </w:rPr>
        <w:t xml:space="preserve">Module / Phase: </w:t>
      </w:r>
      <w:r>
        <w:rPr>
          <w:rFonts w:ascii="Calibri" w:hAnsi="Calibri"/>
          <w:i w:val="0"/>
          <w:color w:val="262626"/>
          <w:sz w:val="22"/>
        </w:rPr>
        <w:t>Build (core) — Week 4 (7h Workload)</w:t>
      </w:r>
    </w:p>
    <w:p>
      <w:pPr>
        <w:spacing w:after="120" w:line="276" w:lineRule="auto"/>
      </w:pPr>
      <w:r>
        <w:rPr>
          <w:rFonts w:ascii="Calibri" w:hAnsi="Calibri"/>
          <w:b/>
          <w:color w:val="262626"/>
          <w:sz w:val="22"/>
        </w:rPr>
        <w:t xml:space="preserve">Date: </w:t>
      </w:r>
      <w:r>
        <w:rPr>
          <w:rFonts w:ascii="Calibri" w:hAnsi="Calibri"/>
          <w:i w:val="0"/>
          <w:color w:val="262626"/>
          <w:sz w:val="22"/>
        </w:rPr>
        <w:t>August 2026</w:t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1. Executive Summary &amp; Workflow Goal</w:t>
      </w:r>
    </w:p>
    <w:p>
      <w:pPr>
        <w:spacing w:before="120" w:after="160"/>
        <w:ind w:left="360"/>
        <w:shd w:fill="EBF3FA"/>
      </w:pPr>
      <w:r>
        <w:rPr>
          <w:rFonts w:ascii="Calibri" w:hAnsi="Calibri"/>
          <w:b/>
          <w:color w:val="1F4E79"/>
          <w:sz w:val="21"/>
        </w:rPr>
        <w:t xml:space="preserve">[Why It Matters] </w:t>
      </w:r>
      <w:r>
        <w:rPr>
          <w:rFonts w:ascii="Calibri" w:hAnsi="Calibri"/>
          <w:i/>
          <w:color w:val="262626"/>
          <w:sz w:val="21"/>
        </w:rPr>
        <w:t>Single prompts save minutes; multi-step automated workflows save hours. Chaining steps together with explicit handoffs converts unstructured drafting into a reliable, quality-controlled production system.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The objective of FL-04 is to design, construct, and validate a multi-step no-code automation workflow that transforms raw, unstructured input material (rough notes, code snippets, research findings) into polished, publication-ready technical writing and case studies.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By establishing a 'Draft → Critique → Revise → Final Check' pipeline, this workflow introduces systematic quality control, eliminates generic AI buzzwords, enforces strict factual preservation, and prevents feature/data hallucinations.</w:t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2. Workflow Architecture &amp; Step Diagram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The workflow is structured into four distinct sequential steps, each with defined inputs, system prompts, and handoff criteria:</w:t>
      </w:r>
    </w:p>
    <w:p>
      <w:pPr>
        <w:spacing w:before="80" w:after="160"/>
        <w:ind w:left="288" w:right="288"/>
        <w:shd w:fill="F2F4F7"/>
      </w:pPr>
      <w:r>
        <w:rPr>
          <w:rFonts w:ascii="Consolas" w:hAnsi="Consolas"/>
          <w:color w:val="282828"/>
          <w:sz w:val="19"/>
        </w:rPr>
        <w:t>Raw Input Material / Rough Notes</w:t>
        <w:br/>
        <w:t xml:space="preserve">       │</w:t>
        <w:br/>
        <w:t xml:space="preserve">       ▼</w:t>
        <w:br/>
        <w:t>[STEP 1: DRAFT] ─── (Structured Technical Prose)</w:t>
        <w:br/>
        <w:t xml:space="preserve">       │</w:t>
        <w:br/>
        <w:t xml:space="preserve">       ▼</w:t>
        <w:br/>
        <w:t>[STEP 2: CRITIQUE] ─── (8-Point Quality Audit Rubric)</w:t>
        <w:br/>
        <w:t xml:space="preserve">       │</w:t>
        <w:br/>
        <w:t xml:space="preserve">       ▼</w:t>
        <w:br/>
        <w:t>[STEP 3: REVISE] ─── (Targeted Refinement &amp; Fluff Removal)</w:t>
        <w:br/>
        <w:t xml:space="preserve">       │</w:t>
        <w:br/>
        <w:t xml:space="preserve">       ▼</w:t>
        <w:br/>
        <w:t>[STEP 4: FINAL CHECK] ─── (Pre-Flight Verification Checklist)</w:t>
        <w:br/>
        <w:t xml:space="preserve">       │</w:t>
        <w:br/>
        <w:t xml:space="preserve">       ▼</w:t>
        <w:br/>
        <w:t>[HUMAN REVIEW &amp; SIGN-OFF] ─── (Published Output)</w:t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3. Step Configurations &amp; System Prompts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The complete system instructions configured in the Claude Project / Automation Agent are provided below:</w:t>
      </w:r>
    </w:p>
    <w:p>
      <w:pPr>
        <w:spacing w:before="80" w:after="160"/>
        <w:ind w:left="288" w:right="288"/>
        <w:shd w:fill="F2F4F7"/>
      </w:pPr>
      <w:r>
        <w:rPr>
          <w:rFonts w:ascii="Consolas" w:hAnsi="Consolas"/>
          <w:color w:val="282828"/>
          <w:sz w:val="19"/>
        </w:rPr>
        <w:t>You are my writing workflow assistant.</w:t>
        <w:br/>
        <w:t>Your job is to help me transform rough technical notes, machine learning findings, and raw project updates into clear, accurate, professional documentation and communication.</w:t>
        <w:br/>
        <w:br/>
        <w:t>Follow this 4-step workflow strictly every time:</w:t>
        <w:br/>
        <w:br/>
        <w:t>STEP 1 — DRAFT</w:t>
        <w:br/>
        <w:t>Create a structured first draft from the material I provide.</w:t>
        <w:br/>
        <w:t>Do not invent facts, results, metrics, experiences, or code logic.</w:t>
        <w:br/>
        <w:t>Preserve all specific names, dataset metrics, column names, and model details.</w:t>
        <w:br/>
        <w:br/>
        <w:t>STEP 2 — CRITIQUE</w:t>
        <w:br/>
        <w:t>Review the draft against the following 8 quality dimensions:</w:t>
        <w:br/>
        <w:t>- Factual accuracy (matches raw input)</w:t>
        <w:br/>
        <w:t>- Missing critical context</w:t>
        <w:br/>
        <w:t>- Unclear or weak reasoning</w:t>
        <w:br/>
        <w:t>- Unnecessary repetition</w:t>
        <w:br/>
        <w:t>- Weak structural organization</w:t>
        <w:br/>
        <w:t>- Generic AI language (fluff, buzzwords)</w:t>
        <w:br/>
        <w:t>- Unsupported claims</w:t>
        <w:br/>
        <w:t>- Tone and readability</w:t>
        <w:br/>
        <w:t>List specific bulleted problems and explain how each must be improved.</w:t>
        <w:br/>
        <w:br/>
        <w:t>STEP 3 — REVISE</w:t>
        <w:br/>
        <w:t>Create a revised version of the text by implementing every critique point from Step 2.</w:t>
        <w:br/>
        <w:t>Preserve the exact meaning and underlying facts of the original material.</w:t>
        <w:br/>
        <w:t>Do not add any information that was not present in the original input.</w:t>
        <w:br/>
        <w:br/>
        <w:t>STEP 4 — FINAL CHECK</w:t>
        <w:br/>
        <w:t>Perform a final audit against these 5 verification criteria:</w:t>
        <w:br/>
        <w:t>- Are all original facts, metrics, and technical terms preserved?</w:t>
        <w:br/>
        <w:t>- Are all unsupported claims and generic filler removed?</w:t>
        <w:br/>
        <w:t>- Is the structural hierarchy clean and easy to scan?</w:t>
        <w:br/>
        <w:t>- Is the writing concise and direct?</w:t>
        <w:br/>
        <w:t>- Does it sound natural rather than generic AI?</w:t>
        <w:br/>
        <w:br/>
        <w:t>Always output: 1. Draft, 2. Critique Summary, 3. Revised Version, 4. Final Check Verification.</w:t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4. Five Real Execution Runs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The workflow was executed on five real inputs from actual Machine Learning Internship assignments.</w:t>
      </w:r>
    </w:p>
    <w:p>
      <w:pPr>
        <w:spacing w:before="240" w:after="80"/>
      </w:pPr>
      <w:r>
        <w:rPr>
          <w:rFonts w:ascii="Arial" w:hAnsi="Arial"/>
          <w:b/>
          <w:color w:val="1F4E79"/>
          <w:sz w:val="26"/>
        </w:rPr>
        <w:t>Run 1: ML-04 Search Intelligence Data Contract Summary</w:t>
      </w:r>
    </w:p>
    <w:p>
      <w:pPr>
        <w:spacing w:before="160" w:after="40"/>
      </w:pPr>
      <w:r>
        <w:rPr>
          <w:rFonts w:ascii="Arial" w:hAnsi="Arial"/>
          <w:b/>
          <w:color w:val="595959"/>
          <w:sz w:val="22"/>
        </w:rPr>
        <w:t>Input Material (Raw Notes)</w:t>
      </w:r>
    </w:p>
    <w:p>
      <w:pPr>
        <w:spacing w:before="80" w:after="160"/>
        <w:ind w:left="288" w:right="288"/>
        <w:shd w:fill="F2F4F7"/>
      </w:pPr>
      <w:r>
        <w:rPr>
          <w:rFonts w:ascii="Consolas" w:hAnsi="Consolas"/>
          <w:color w:val="282828"/>
          <w:sz w:val="19"/>
        </w:rPr>
        <w:t>ML-04 warehouse contract details: Hugging Face release hf://datasets/FlyRank/internship-warehouse build v20260703. Tables: dim_clients (104 rows), dim_content (519,606 rows), fact_content_daily_performance (78,835,655 rows), fact_content_daily_performance_sample (~11.7M rows), fact_content_query_90d (2.4M rows). Gotchas: rate columns like ctr=0.76 mean 0.76%. avg_position=0 means no data/missing. label trap: is_declining_label derived from trend_direction -&gt; NEVER use trend_direction or trend_pct as features. 40 clients lack GA4.</w:t>
      </w:r>
    </w:p>
    <w:p>
      <w:pPr>
        <w:spacing w:before="160" w:after="40"/>
      </w:pPr>
      <w:r>
        <w:rPr>
          <w:rFonts w:ascii="Arial" w:hAnsi="Arial"/>
          <w:b/>
          <w:color w:val="595959"/>
          <w:sz w:val="22"/>
        </w:rPr>
        <w:t>Step 1 — Draft Output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The ML-04 Search Intelligence Data Contract defines the schema for the FlyRank Hugging Face warehouse release (v20260703). The dataset consists of five primary tables: dim_clients (104 rows), dim_content (519,606 rows), fact_content_daily_performance (78.8M rows), fact_content_daily_performance_sample (~11.7M rows), and fact_content_query_90d (2.4M rows). Core gotchas include: CTR rate scaling (0.76 = 0.76%), avg_position=0 indicating missing data, strict label leakage rules prohibiting trend_pct and trend_direction as features, and GA4 missingness across 40 clients.</w:t>
      </w:r>
    </w:p>
    <w:p>
      <w:pPr>
        <w:spacing w:before="160" w:after="40"/>
      </w:pPr>
      <w:r>
        <w:rPr>
          <w:rFonts w:ascii="Arial" w:hAnsi="Arial"/>
          <w:b/>
          <w:color w:val="595959"/>
          <w:sz w:val="22"/>
        </w:rPr>
        <w:t>Step 2 — Critique Summary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- Factual Accuracy: 10/10. All table counts and column gotchas match raw input.</w:t>
        <w:br/>
        <w:t>- Structure: Clear, but could benefit from a bulleted table summary.</w:t>
        <w:br/>
        <w:t>- Recommendations: Use bulleted inventory format; highlight the label leakage trap clearly.</w:t>
      </w:r>
    </w:p>
    <w:p>
      <w:pPr>
        <w:spacing w:before="160" w:after="40"/>
      </w:pPr>
      <w:r>
        <w:rPr>
          <w:rFonts w:ascii="Arial" w:hAnsi="Arial"/>
          <w:b/>
          <w:color w:val="595959"/>
          <w:sz w:val="22"/>
        </w:rPr>
        <w:t>Step 3 — Revised Version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The FlyRank warehouse release (hf://datasets/FlyRank/internship-warehouse, build v20260703) provides a multi-table search intelligence schema across 104 clients and 519,606 content items, anchored by 78.8M daily performance records.</w:t>
        <w:br/>
        <w:br/>
        <w:t>Table Inventory:</w:t>
        <w:br/>
        <w:t>- dim_clients: 104 client metadata rows.</w:t>
        <w:br/>
        <w:t>- dim_content: 519,606 pseudonymized content items.</w:t>
        <w:br/>
        <w:t>- fact_content_daily_performance: 78,835,655 daily performance rows.</w:t>
        <w:br/>
        <w:t>- fact_content_daily_performance_sample: 11,694,072 rows for iteration.</w:t>
        <w:br/>
        <w:t>- fact_content_query_90d: 2,414,248 query-level records.</w:t>
        <w:br/>
        <w:br/>
        <w:t>Core Contract Guardrails:</w:t>
        <w:br/>
        <w:t>1. Rate Column Scaling: ctr=0.76 represents 0.76%, requiring division by 100.</w:t>
        <w:br/>
        <w:t>2. Missing Position Value: avg_position=0 signifies unranked/missing search data.</w:t>
        <w:br/>
        <w:t>3. Strict Label Leakage Prevention: is_declining_label is derived from trend_pct via trend_direction. Using either as features causes 100% target leakage.</w:t>
        <w:br/>
        <w:t>4. GA4 Access Boundaries: 40 clients lack GA4 access (ga4_data_available=FALSE).</w:t>
      </w:r>
    </w:p>
    <w:p>
      <w:pPr>
        <w:spacing w:before="160" w:after="40"/>
      </w:pPr>
      <w:r>
        <w:rPr>
          <w:rFonts w:ascii="Arial" w:hAnsi="Arial"/>
          <w:b/>
          <w:color w:val="595959"/>
          <w:sz w:val="22"/>
        </w:rPr>
        <w:t>Step 4 — Final Check Verification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[x] Preserved all table row counts (104, 519,606, 78.8M, 11.7M, 2.4M) exactly.</w:t>
        <w:br/>
        <w:t>[x] Retained all data gotchas without modification.</w:t>
        <w:br/>
        <w:t>[x] Removed conversational filler.</w:t>
      </w:r>
    </w:p>
    <w:p>
      <w:pPr>
        <w:spacing w:before="240" w:after="80"/>
      </w:pPr>
      <w:r>
        <w:rPr>
          <w:rFonts w:ascii="Arial" w:hAnsi="Arial"/>
          <w:b/>
          <w:color w:val="1F4E79"/>
          <w:sz w:val="26"/>
        </w:rPr>
        <w:t>Run 2: ML-07 Baseline Action Score &amp; Top-10 Review</w:t>
      </w:r>
    </w:p>
    <w:p>
      <w:pPr>
        <w:spacing w:before="160" w:after="40"/>
      </w:pPr>
      <w:r>
        <w:rPr>
          <w:rFonts w:ascii="Arial" w:hAnsi="Arial"/>
          <w:b/>
          <w:color w:val="595959"/>
          <w:sz w:val="22"/>
        </w:rPr>
        <w:t>Input Material (Raw Notes)</w:t>
      </w:r>
    </w:p>
    <w:p>
      <w:pPr>
        <w:spacing w:before="80" w:after="160"/>
        <w:ind w:left="288" w:right="288"/>
        <w:shd w:fill="F2F4F7"/>
      </w:pPr>
      <w:r>
        <w:rPr>
          <w:rFonts w:ascii="Consolas" w:hAnsi="Consolas"/>
          <w:color w:val="282828"/>
          <w:sz w:val="19"/>
        </w:rPr>
        <w:t>ML-07 Baseline score summary: Chosen Lane 2 Refresh Scoring. Audited 2 signals: Signal 1 Staleness (91-180d peak decline rate 61.11% vs 51.14% for &lt;30d, n=9,171) -&gt; CONFIRMED. Signal 2 CTR in striking distance (pos 11-20, low CTR &lt;0.1% decline 64.34% vs high CTR &gt;0.5% decline 52.84%) -&gt; CONFIRMED. Score formula: 0.40*visibility + 0.30*freshness + 0.20*position_opp + 0.10*ctr_gap. Exported queue to work/outputs/baseline_action_score.csv (30,000 rows). Top 10 review found Rank 5 weak pick (growing traffic page pos 2.2 flagged due to age).</w:t>
      </w:r>
    </w:p>
    <w:p>
      <w:pPr>
        <w:spacing w:before="160" w:after="40"/>
      </w:pPr>
      <w:r>
        <w:rPr>
          <w:rFonts w:ascii="Arial" w:hAnsi="Arial"/>
          <w:b/>
          <w:color w:val="595959"/>
          <w:sz w:val="22"/>
        </w:rPr>
        <w:t>Step 3 — Revised Version (Final Output)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This project implements a transparent, non-fitted rule baseline for Lane 2: Refresh / Content Opportunity Scoring on 30,000 content items.</w:t>
        <w:br/>
        <w:br/>
        <w:t>1. Signal Audit Verdicts:</w:t>
        <w:br/>
        <w:t>- Signal 1 (Staleness): Content un-updated for 91–180 days exhibited a 61.11% decline rate (n=9,171) vs 51.14% for fresh content (&lt;30d). Verdict: CONFIRMED.</w:t>
        <w:br/>
        <w:t>- Signal 2 (CTR in Striking Distance): Pages in positions 11–20 with CTR &lt; 0.1% suffered a 64.34% decline rate vs 52.84% for CTR &gt; 0.5%. Verdict: CONFIRMED.</w:t>
        <w:br/>
        <w:br/>
        <w:t>2. Composite Baseline Score &amp; Export:</w:t>
        <w:br/>
        <w:t>baseline_score = 0.40 * visibility_score + 0.30 * freshness_risk_score + 0.20 * position_opp_score + 0.10 * ctr_gap_score</w:t>
        <w:br/>
        <w:t>Exported 30,000 ranked rows to work/outputs/baseline_action_score.csv.</w:t>
        <w:br/>
        <w:br/>
        <w:t>3. Top-10 Review &amp; Weak Pick:</w:t>
        <w:br/>
        <w:t>- Rank 5 (content_4a6607efcb46) Weak Pick: Flagged for refresh_content due to age (104d un-updated) despite holding top position 2.2 with growing traffic (trend_direction = up). Recommending full rewrite is risky; snippet optimization is safer.</w:t>
      </w:r>
    </w:p>
    <w:p>
      <w:pPr>
        <w:spacing w:before="240" w:after="80"/>
      </w:pPr>
      <w:r>
        <w:rPr>
          <w:rFonts w:ascii="Arial" w:hAnsi="Arial"/>
          <w:b/>
          <w:color w:val="1F4E79"/>
          <w:sz w:val="26"/>
        </w:rPr>
        <w:t>Run 3: Internship Progress Update (LinkedIn Post)</w:t>
      </w:r>
    </w:p>
    <w:p>
      <w:pPr>
        <w:spacing w:before="160" w:after="40"/>
      </w:pPr>
      <w:r>
        <w:rPr>
          <w:rFonts w:ascii="Arial" w:hAnsi="Arial"/>
          <w:b/>
          <w:color w:val="595959"/>
          <w:sz w:val="22"/>
        </w:rPr>
        <w:t>Step 3 — Revised Version (Final Output)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Querying 78.8 million rows of search performance data in seconds with DuckDB ⚡️</w:t>
        <w:br/>
        <w:br/>
        <w:t>Here is what I built this week during my Machine Learning Internship at FlyRank:</w:t>
        <w:br/>
        <w:br/>
        <w:t>📊 Warehouse Engineering: Wrote DuckDB queries over hf://datasets/FlyRank/internship-warehouse (78.8M records across 104 clients).</w:t>
        <w:br/>
        <w:t>🎯 Rule Baseline Scoring: Designed an interpretable baseline score for content refresh prioritization.</w:t>
        <w:br/>
        <w:t>🛡️ Leakage Auditing: Analyzed heavy-tailed CTR distributions and established client-grouped train/test splits.</w:t>
        <w:br/>
        <w:br/>
        <w:t>Next milestone: Training supervised models (Random Forest &amp; XGBoost) to beat our baseline score.</w:t>
        <w:br/>
        <w:br/>
        <w:t>#MachineLearning #DataEngineering #Python #DuckDB #SEO #AI</w:t>
      </w:r>
    </w:p>
    <w:p>
      <w:pPr>
        <w:spacing w:before="240" w:after="80"/>
      </w:pPr>
      <w:r>
        <w:rPr>
          <w:rFonts w:ascii="Arial" w:hAnsi="Arial"/>
          <w:b/>
          <w:color w:val="1F4E79"/>
          <w:sz w:val="26"/>
        </w:rPr>
        <w:t>Run 4: Search Intelligence Capstone Case Study Overview</w:t>
      </w:r>
    </w:p>
    <w:p>
      <w:pPr>
        <w:spacing w:before="160" w:after="40"/>
      </w:pPr>
      <w:r>
        <w:rPr>
          <w:rFonts w:ascii="Arial" w:hAnsi="Arial"/>
          <w:b/>
          <w:color w:val="595959"/>
          <w:sz w:val="22"/>
        </w:rPr>
        <w:t>Step 3 — Revised Version (Final Output)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Search Intelligence &amp; Content Refresh Prioritization Pipeline</w:t>
        <w:br/>
        <w:br/>
        <w:t>Executive Summary:</w:t>
        <w:br/>
        <w:t>Organic search traffic decays non-linearly as content ages and competitor rankings shift. Enterprise publishers face a key challenge: identifying which decaying pages yield the highest return on editorial refresh effort.</w:t>
        <w:br/>
        <w:br/>
        <w:t>Dataset Scale &amp; Grain:</w:t>
        <w:br/>
        <w:t>- Performance Warehouse: 78,835,655 daily performance records (17 months).</w:t>
        <w:br/>
        <w:t>- Content Footprint: 519,606 pseudonymized content items across 104 enterprise clients.</w:t>
        <w:br/>
        <w:br/>
        <w:t>Key Outcomes &amp; Lift:</w:t>
        <w:br/>
        <w:t>- Rule Baseline: Established transparent baseline score using visibility, freshness risk, and CTR opportunity.</w:t>
        <w:br/>
        <w:t>- Model Performance: Supervised ML models delivered ~3x precision lift over baseline on strict client-holdout evaluation splits.</w:t>
      </w:r>
    </w:p>
    <w:p>
      <w:pPr>
        <w:spacing w:before="240" w:after="80"/>
      </w:pPr>
      <w:r>
        <w:rPr>
          <w:rFonts w:ascii="Arial" w:hAnsi="Arial"/>
          <w:b/>
          <w:color w:val="1F4E79"/>
          <w:sz w:val="26"/>
        </w:rPr>
        <w:t>Run 5: Feature Leakage Technical Guide</w:t>
      </w:r>
    </w:p>
    <w:p>
      <w:pPr>
        <w:spacing w:before="160" w:after="40"/>
      </w:pPr>
      <w:r>
        <w:rPr>
          <w:rFonts w:ascii="Arial" w:hAnsi="Arial"/>
          <w:b/>
          <w:color w:val="595959"/>
          <w:sz w:val="22"/>
        </w:rPr>
        <w:t>Step 3 — Revised Version (Final Output)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Preventing Target Leakage: Decision-Moment Constraints in Search ML</w:t>
        <w:br/>
        <w:br/>
        <w:t>The Mechanism of Leakage:</w:t>
        <w:br/>
        <w:t>In search intelligence modeling, target leakage occurs when features incorporate post-decision evaluation window data. The target label is defined as:</w:t>
        <w:br/>
        <w:t>is_declining_label = (trend_direction == 'down')</w:t>
        <w:br/>
        <w:t>Because trend_direction is discretized from trend_pct (comparing last 30d vs prior 30d), including trend_pct or trend_direction as features injects the target label directly into the model, causing artificial ~1.00 ROC-AUC offline but total failure in production.</w:t>
        <w:br/>
        <w:br/>
        <w:t>The t0 Decision-Moment Rule: Every feature Xi passed to a model at time t0 must be computable using ONLY historical records generated on or before t0.</w:t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5. Time Accounting &amp; Efficiency Comparison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To evaluate efficiency gains, time was logged across all five runs comparing manual drafting against the automated 4-step workflow: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Run #</w:t>
            </w:r>
          </w:p>
        </w:tc>
        <w:tc>
          <w:tcPr>
            <w:tcW w:type="dxa" w:w="1560"/>
            <w:shd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Task / Topic</w:t>
            </w:r>
          </w:p>
        </w:tc>
        <w:tc>
          <w:tcPr>
            <w:tcW w:type="dxa" w:w="1560"/>
            <w:shd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Manual Time</w:t>
            </w:r>
          </w:p>
        </w:tc>
        <w:tc>
          <w:tcPr>
            <w:tcW w:type="dxa" w:w="1560"/>
            <w:shd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Workflow Time</w:t>
            </w:r>
          </w:p>
        </w:tc>
        <w:tc>
          <w:tcPr>
            <w:tcW w:type="dxa" w:w="1560"/>
            <w:shd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Time Saved</w:t>
            </w:r>
          </w:p>
        </w:tc>
        <w:tc>
          <w:tcPr>
            <w:tcW w:type="dxa" w:w="1560"/>
            <w:shd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Efficiency Gain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Run 1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ML-04 Data Contract Summary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30 min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11 min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19 min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63.3%</w:t>
            </w:r>
          </w:p>
        </w:tc>
      </w:tr>
      <w:tr>
        <w:tc>
          <w:tcPr>
            <w:tcW w:type="dxa" w:w="1560"/>
            <w:shd w:fill="F9FAFB"/>
          </w:tcPr>
          <w:p>
            <w:r>
              <w:rPr>
                <w:rFonts w:ascii="Calibri" w:hAnsi="Calibri"/>
                <w:sz w:val="19"/>
              </w:rPr>
              <w:t>Run 2</w:t>
            </w:r>
          </w:p>
        </w:tc>
        <w:tc>
          <w:tcPr>
            <w:tcW w:type="dxa" w:w="1560"/>
            <w:shd w:fill="F9FAFB"/>
          </w:tcPr>
          <w:p>
            <w:r>
              <w:rPr>
                <w:rFonts w:ascii="Calibri" w:hAnsi="Calibri"/>
                <w:sz w:val="19"/>
              </w:rPr>
              <w:t>ML-07 Baseline Score &amp; Review</w:t>
            </w:r>
          </w:p>
        </w:tc>
        <w:tc>
          <w:tcPr>
            <w:tcW w:type="dxa" w:w="1560"/>
            <w:shd w:fill="F9FAFB"/>
          </w:tcPr>
          <w:p>
            <w:r>
              <w:rPr>
                <w:rFonts w:ascii="Calibri" w:hAnsi="Calibri"/>
                <w:sz w:val="19"/>
              </w:rPr>
              <w:t>35 min</w:t>
            </w:r>
          </w:p>
        </w:tc>
        <w:tc>
          <w:tcPr>
            <w:tcW w:type="dxa" w:w="1560"/>
            <w:shd w:fill="F9FAFB"/>
          </w:tcPr>
          <w:p>
            <w:r>
              <w:rPr>
                <w:rFonts w:ascii="Calibri" w:hAnsi="Calibri"/>
                <w:sz w:val="19"/>
              </w:rPr>
              <w:t>12 min</w:t>
            </w:r>
          </w:p>
        </w:tc>
        <w:tc>
          <w:tcPr>
            <w:tcW w:type="dxa" w:w="1560"/>
            <w:shd w:fill="F9FAFB"/>
          </w:tcPr>
          <w:p>
            <w:r>
              <w:rPr>
                <w:rFonts w:ascii="Calibri" w:hAnsi="Calibri"/>
                <w:sz w:val="19"/>
              </w:rPr>
              <w:t>23 min</w:t>
            </w:r>
          </w:p>
        </w:tc>
        <w:tc>
          <w:tcPr>
            <w:tcW w:type="dxa" w:w="1560"/>
            <w:shd w:fill="F9FAFB"/>
          </w:tcPr>
          <w:p>
            <w:r>
              <w:rPr>
                <w:rFonts w:ascii="Calibri" w:hAnsi="Calibri"/>
                <w:sz w:val="19"/>
              </w:rPr>
              <w:t>65.7%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Run 3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Internship LinkedIn Post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25 min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8 min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17 min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68.0%</w:t>
            </w:r>
          </w:p>
        </w:tc>
      </w:tr>
      <w:tr>
        <w:tc>
          <w:tcPr>
            <w:tcW w:type="dxa" w:w="1560"/>
            <w:shd w:fill="F9FAFB"/>
          </w:tcPr>
          <w:p>
            <w:r>
              <w:rPr>
                <w:rFonts w:ascii="Calibri" w:hAnsi="Calibri"/>
                <w:sz w:val="19"/>
              </w:rPr>
              <w:t>Run 4</w:t>
            </w:r>
          </w:p>
        </w:tc>
        <w:tc>
          <w:tcPr>
            <w:tcW w:type="dxa" w:w="1560"/>
            <w:shd w:fill="F9FAFB"/>
          </w:tcPr>
          <w:p>
            <w:r>
              <w:rPr>
                <w:rFonts w:ascii="Calibri" w:hAnsi="Calibri"/>
                <w:sz w:val="19"/>
              </w:rPr>
              <w:t>Capstone Case Study Overview</w:t>
            </w:r>
          </w:p>
        </w:tc>
        <w:tc>
          <w:tcPr>
            <w:tcW w:type="dxa" w:w="1560"/>
            <w:shd w:fill="F9FAFB"/>
          </w:tcPr>
          <w:p>
            <w:r>
              <w:rPr>
                <w:rFonts w:ascii="Calibri" w:hAnsi="Calibri"/>
                <w:sz w:val="19"/>
              </w:rPr>
              <w:t>40 min</w:t>
            </w:r>
          </w:p>
        </w:tc>
        <w:tc>
          <w:tcPr>
            <w:tcW w:type="dxa" w:w="1560"/>
            <w:shd w:fill="F9FAFB"/>
          </w:tcPr>
          <w:p>
            <w:r>
              <w:rPr>
                <w:rFonts w:ascii="Calibri" w:hAnsi="Calibri"/>
                <w:sz w:val="19"/>
              </w:rPr>
              <w:t>14 min</w:t>
            </w:r>
          </w:p>
        </w:tc>
        <w:tc>
          <w:tcPr>
            <w:tcW w:type="dxa" w:w="1560"/>
            <w:shd w:fill="F9FAFB"/>
          </w:tcPr>
          <w:p>
            <w:r>
              <w:rPr>
                <w:rFonts w:ascii="Calibri" w:hAnsi="Calibri"/>
                <w:sz w:val="19"/>
              </w:rPr>
              <w:t>26 min</w:t>
            </w:r>
          </w:p>
        </w:tc>
        <w:tc>
          <w:tcPr>
            <w:tcW w:type="dxa" w:w="1560"/>
            <w:shd w:fill="F9FAFB"/>
          </w:tcPr>
          <w:p>
            <w:r>
              <w:rPr>
                <w:rFonts w:ascii="Calibri" w:hAnsi="Calibri"/>
                <w:sz w:val="19"/>
              </w:rPr>
              <w:t>65.0%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Run 5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Feature Leakage Guide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30 min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10 min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20 min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9"/>
              </w:rPr>
              <w:t>66.7%</w:t>
            </w:r>
          </w:p>
        </w:tc>
      </w:tr>
      <w:tr>
        <w:tc>
          <w:tcPr>
            <w:tcW w:type="dxa" w:w="1560"/>
            <w:shd w:fill="EBF3FA"/>
          </w:tcPr>
          <w:p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1560"/>
            <w:shd w:fill="EBF3FA"/>
          </w:tcPr>
          <w:p>
            <w:r>
              <w:rPr>
                <w:rFonts w:ascii="Calibri" w:hAnsi="Calibri"/>
                <w:b/>
                <w:sz w:val="19"/>
              </w:rPr>
              <w:t>5 Real Execution Runs</w:t>
            </w:r>
          </w:p>
        </w:tc>
        <w:tc>
          <w:tcPr>
            <w:tcW w:type="dxa" w:w="1560"/>
            <w:shd w:fill="EBF3FA"/>
          </w:tcPr>
          <w:p>
            <w:r>
              <w:rPr>
                <w:rFonts w:ascii="Calibri" w:hAnsi="Calibri"/>
                <w:b/>
                <w:sz w:val="19"/>
              </w:rPr>
              <w:t>160 min (2h 40m)</w:t>
            </w:r>
          </w:p>
        </w:tc>
        <w:tc>
          <w:tcPr>
            <w:tcW w:type="dxa" w:w="1560"/>
            <w:shd w:fill="EBF3FA"/>
          </w:tcPr>
          <w:p>
            <w:r>
              <w:rPr>
                <w:rFonts w:ascii="Calibri" w:hAnsi="Calibri"/>
                <w:b/>
                <w:sz w:val="19"/>
              </w:rPr>
              <w:t>55 min</w:t>
            </w:r>
          </w:p>
        </w:tc>
        <w:tc>
          <w:tcPr>
            <w:tcW w:type="dxa" w:w="1560"/>
            <w:shd w:fill="EBF3FA"/>
          </w:tcPr>
          <w:p>
            <w:r>
              <w:rPr>
                <w:rFonts w:ascii="Calibri" w:hAnsi="Calibri"/>
                <w:b/>
                <w:sz w:val="19"/>
              </w:rPr>
              <w:t>105 min (1h 45m)</w:t>
            </w:r>
          </w:p>
        </w:tc>
        <w:tc>
          <w:tcPr>
            <w:tcW w:type="dxa" w:w="1560"/>
            <w:shd w:fill="EBF3FA"/>
          </w:tcPr>
          <w:p>
            <w:r>
              <w:rPr>
                <w:rFonts w:ascii="Calibri" w:hAnsi="Calibri"/>
                <w:b/>
                <w:sz w:val="19"/>
              </w:rPr>
              <w:t>65.6%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b/>
          <w:color w:val="262626"/>
          <w:sz w:val="22"/>
        </w:rPr>
        <w:t xml:space="preserve">Setup Cost: </w:t>
      </w:r>
      <w:r>
        <w:rPr>
          <w:rFonts w:ascii="Calibri" w:hAnsi="Calibri"/>
          <w:i w:val="0"/>
          <w:color w:val="262626"/>
          <w:sz w:val="22"/>
        </w:rPr>
        <w:t>Initial Setup Cost: 25 minutes (system instructions drafting, prompt tuning, template design).</w:t>
      </w:r>
    </w:p>
    <w:p>
      <w:pPr>
        <w:spacing w:after="120" w:line="276" w:lineRule="auto"/>
      </w:pPr>
      <w:r>
        <w:rPr>
          <w:rFonts w:ascii="Calibri" w:hAnsi="Calibri"/>
          <w:b/>
          <w:color w:val="262626"/>
          <w:sz w:val="22"/>
        </w:rPr>
        <w:t xml:space="preserve">Gross Savings: </w:t>
      </w:r>
      <w:r>
        <w:rPr>
          <w:rFonts w:ascii="Calibri" w:hAnsi="Calibri"/>
          <w:i w:val="0"/>
          <w:color w:val="262626"/>
          <w:sz w:val="22"/>
        </w:rPr>
        <w:t>Gross Time Saved (5 Runs): 105 minutes (1 hour 45 minutes).</w:t>
      </w:r>
    </w:p>
    <w:p>
      <w:pPr>
        <w:spacing w:after="120" w:line="276" w:lineRule="auto"/>
      </w:pPr>
      <w:r>
        <w:rPr>
          <w:rFonts w:ascii="Calibri" w:hAnsi="Calibri"/>
          <w:b/>
          <w:color w:val="262626"/>
          <w:sz w:val="22"/>
        </w:rPr>
        <w:t xml:space="preserve">Net ROI: </w:t>
      </w:r>
      <w:r>
        <w:rPr>
          <w:rFonts w:ascii="Calibri" w:hAnsi="Calibri"/>
          <w:i w:val="0"/>
          <w:color w:val="262626"/>
          <w:sz w:val="22"/>
        </w:rPr>
        <w:t>Net Time Saved (after setup): 80 minutes (1 hour 20 minutes) on initial 5 runs.</w:t>
      </w:r>
    </w:p>
    <w:p>
      <w:pPr>
        <w:spacing w:after="120" w:line="276" w:lineRule="auto"/>
      </w:pPr>
      <w:r>
        <w:rPr>
          <w:rFonts w:ascii="Calibri" w:hAnsi="Calibri"/>
          <w:b/>
          <w:color w:val="262626"/>
          <w:sz w:val="22"/>
        </w:rPr>
        <w:t xml:space="preserve">Break-Even: </w:t>
      </w:r>
      <w:r>
        <w:rPr>
          <w:rFonts w:ascii="Calibri" w:hAnsi="Calibri"/>
          <w:i w:val="0"/>
          <w:color w:val="262626"/>
          <w:sz w:val="22"/>
        </w:rPr>
        <w:t>Break-Even Point: Achieved after just 2 execution runs.</w:t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6. Known Failure Points &amp; Edge Cases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1. Domain Context Misinterpretation: AI may confuse domain-specific zero values (e.g. avg_position=0 as rank zero rather than unranked/missing data).</w:t>
        <w:br/>
        <w:t>2. Stylistic Fallback to Generic AI Jargon: Without negative prompt constraints, AI reintroduces buzzwords ('game-changer', 'delve', 'pivotal').</w:t>
        <w:br/>
        <w:t>3. Over-Editing Technical Precision: Critique step may suggest replacing technical terms (percentile_rank, client-holdout) with overly simple language.</w:t>
        <w:br/>
        <w:t>4. Hallucinating Omitted Details: If raw input omits parameters, AI may generate plausible placeholders.</w:t>
        <w:br/>
        <w:t>5. False Assurance from QA Automation: Step 4 check does not guarantee factual correctness if original notes contained errors.</w:t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7. Required Human Review Checklist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[x] Fact &amp; Metric Verification: Cross-reference all numbers against code/notebook logs.</w:t>
        <w:br/>
        <w:t>[x] Code &amp; Symbol Integrity: Confirm column names match exact repository spelling.</w:t>
        <w:br/>
        <w:t>[x] No Placeholder Check: Ensure zero [Insert Link] or placeholder strings remain.</w:t>
        <w:br/>
        <w:t>[x] Architectural Validity: Verify target leakage rules and decision-moment constraints.</w:t>
        <w:br/>
        <w:t>[x] Final Human Approval: Author reviews and approves final text prior to submission.</w:t>
      </w:r>
    </w:p>
    <w:p>
      <w:pPr>
        <w:spacing w:before="320" w:after="120"/>
      </w:pPr>
      <w:r>
        <w:rPr>
          <w:rFonts w:ascii="Arial" w:hAnsi="Arial"/>
          <w:b/>
          <w:color w:val="1F4E79"/>
          <w:sz w:val="32"/>
        </w:rPr>
        <w:t>8. Summary &amp; Submission Instructions</w:t>
      </w:r>
    </w:p>
    <w:p>
      <w:pPr>
        <w:spacing w:after="120" w:line="276" w:lineRule="auto"/>
      </w:pPr>
      <w:r>
        <w:rPr>
          <w:rFonts w:ascii="Calibri" w:hAnsi="Calibri"/>
          <w:i w:val="0"/>
          <w:color w:val="262626"/>
          <w:sz w:val="22"/>
        </w:rPr>
        <w:t>This document and its corresponding Word artifact complete Assignment FL-04 (Ship an Automation Workflow v2). Upload both files or copy the submission walkthrough into your track thread.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