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4DEE" w14:textId="77777777" w:rsidR="002C1B82" w:rsidRPr="002C1B82" w:rsidRDefault="002C1B82" w:rsidP="002C1B82">
      <w:pPr>
        <w:rPr>
          <w:b/>
          <w:bCs/>
        </w:rPr>
      </w:pPr>
      <w:r w:rsidRPr="002C1B82">
        <w:rPr>
          <w:b/>
          <w:bCs/>
        </w:rPr>
        <w:t>A. Environment structure</w:t>
      </w:r>
    </w:p>
    <w:tbl>
      <w:tblPr>
        <w:tblW w:w="0" w:type="auto"/>
        <w:tblBorders>
          <w:top w:val="single" w:sz="6" w:space="0" w:color="E4E5E6"/>
          <w:left w:val="single" w:sz="6" w:space="0" w:color="E4E5E6"/>
          <w:bottom w:val="single" w:sz="6" w:space="0" w:color="E4E5E6"/>
          <w:right w:val="single" w:sz="6"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1390"/>
        <w:gridCol w:w="1513"/>
        <w:gridCol w:w="6107"/>
      </w:tblGrid>
      <w:tr w:rsidR="002C1B82" w:rsidRPr="002C1B82" w14:paraId="1E1130CC" w14:textId="77777777">
        <w:trPr>
          <w:tblHeader/>
        </w:trPr>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6E06F83" w14:textId="77777777" w:rsidR="002C1B82" w:rsidRPr="002C1B82" w:rsidRDefault="002C1B82" w:rsidP="002C1B82">
            <w:pPr>
              <w:rPr>
                <w:b/>
                <w:bCs/>
              </w:rPr>
            </w:pPr>
            <w:r w:rsidRPr="002C1B82">
              <w:rPr>
                <w:b/>
                <w:bCs/>
              </w:rPr>
              <w:t>Parameter</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B22DC71" w14:textId="77777777" w:rsidR="002C1B82" w:rsidRPr="002C1B82" w:rsidRDefault="002C1B82" w:rsidP="002C1B82">
            <w:pPr>
              <w:rPr>
                <w:b/>
                <w:bCs/>
              </w:rPr>
            </w:pPr>
            <w:r w:rsidRPr="002C1B82">
              <w:rPr>
                <w:b/>
                <w:bCs/>
              </w:rPr>
              <w:t>Value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36FAB72" w14:textId="77777777" w:rsidR="002C1B82" w:rsidRPr="002C1B82" w:rsidRDefault="002C1B82" w:rsidP="002C1B82">
            <w:pPr>
              <w:rPr>
                <w:b/>
                <w:bCs/>
              </w:rPr>
            </w:pPr>
            <w:r w:rsidRPr="002C1B82">
              <w:rPr>
                <w:b/>
                <w:bCs/>
              </w:rPr>
              <w:t>Status</w:t>
            </w:r>
          </w:p>
        </w:tc>
      </w:tr>
      <w:tr w:rsidR="002C1B82" w:rsidRPr="002C1B82" w14:paraId="7940EDDE"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489C9AB" w14:textId="77777777" w:rsidR="002C1B82" w:rsidRPr="002C1B82" w:rsidRDefault="002C1B82" w:rsidP="002C1B82">
            <w:r w:rsidRPr="002C1B82">
              <w:t>TOTAL_PRB</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50A6A82" w14:textId="77777777" w:rsidR="002C1B82" w:rsidRPr="002C1B82" w:rsidRDefault="002C1B82" w:rsidP="002C1B82">
            <w:r w:rsidRPr="002C1B82">
              <w:t>50</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BA4B857" w14:textId="77777777" w:rsidR="002C1B82" w:rsidRPr="002C1B82" w:rsidRDefault="002C1B82" w:rsidP="002C1B82">
            <w:r w:rsidRPr="002C1B82">
              <w:rPr>
                <w:b/>
                <w:bCs/>
              </w:rPr>
              <w:t>Arbitrary.</w:t>
            </w:r>
            <w:r w:rsidRPr="002C1B82">
              <w:t> Nothing in the repo justifies it. Post-hoc defensible: 5G NR at 15 kHz SCS gives 52 PRBs for a 10 MHz carrier, so 50 ≈ a 10 MHz cell. Say that, or change it to 52 and say it exactly.</w:t>
            </w:r>
          </w:p>
        </w:tc>
      </w:tr>
      <w:tr w:rsidR="002C1B82" w:rsidRPr="002C1B82" w14:paraId="5BF4CDFE"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AF25F0D" w14:textId="77777777" w:rsidR="002C1B82" w:rsidRPr="002C1B82" w:rsidRDefault="002C1B82" w:rsidP="002C1B82">
            <w:r w:rsidRPr="002C1B82">
              <w:t>Total offered load</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F3543DF" w14:textId="77777777" w:rsidR="002C1B82" w:rsidRPr="002C1B82" w:rsidRDefault="002C1B82" w:rsidP="002C1B82">
            <w:r w:rsidRPr="002C1B82">
              <w:t>48.0 PRB/step, all four envs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979AD29" w14:textId="77777777" w:rsidR="002C1B82" w:rsidRPr="002C1B82" w:rsidRDefault="002C1B82" w:rsidP="002C1B82">
            <w:r w:rsidRPr="002C1B82">
              <w:rPr>
                <w:b/>
                <w:bCs/>
              </w:rPr>
              <w:t>Derived from a stated constraint</w:t>
            </w:r>
            <w:r w:rsidRPr="002C1B82">
              <w:t> — load-matching so only the </w:t>
            </w:r>
            <w:r w:rsidRPr="002C1B82">
              <w:rPr>
                <w:i/>
                <w:iCs/>
              </w:rPr>
              <w:t>mix</w:t>
            </w:r>
            <w:r w:rsidRPr="002C1B82">
              <w:t> differs. This is the single most important design decision in the study and it is correctly documented.</w:t>
            </w:r>
          </w:p>
        </w:tc>
      </w:tr>
      <w:tr w:rsidR="002C1B82" w:rsidRPr="002C1B82" w14:paraId="4DD7B55D"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98F69C8" w14:textId="77777777" w:rsidR="002C1B82" w:rsidRPr="002C1B82" w:rsidRDefault="002C1B82" w:rsidP="002C1B82">
            <w:r w:rsidRPr="002C1B82">
              <w:t>Utilisation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DD9F5B2" w14:textId="77777777" w:rsidR="002C1B82" w:rsidRPr="002C1B82" w:rsidRDefault="002C1B82" w:rsidP="002C1B82">
            <w:r w:rsidRPr="002C1B82">
              <w:t>48/50 = 96%</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DB397E9" w14:textId="77777777" w:rsidR="002C1B82" w:rsidRPr="002C1B82" w:rsidRDefault="002C1B82" w:rsidP="002C1B82">
            <w:r w:rsidRPr="002C1B82">
              <w:rPr>
                <w:b/>
                <w:bCs/>
              </w:rPr>
              <w:t>Arbitrary but load-bearing.</w:t>
            </w:r>
            <w:r w:rsidRPr="002C1B82">
              <w:t> Chosen so allocation matters; below ~85% any split satisfies everything and SSR stops discriminating. No sweep and no citation supports 96% specifically.</w:t>
            </w:r>
          </w:p>
        </w:tc>
      </w:tr>
      <w:tr w:rsidR="002C1B82" w:rsidRPr="002C1B82" w14:paraId="4B7E0EAE"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75583F4" w14:textId="77777777" w:rsidR="002C1B82" w:rsidRPr="002C1B82" w:rsidRDefault="002C1B82" w:rsidP="002C1B82">
            <w:r w:rsidRPr="002C1B82">
              <w:t>Mix</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6B4194E" w14:textId="77777777" w:rsidR="002C1B82" w:rsidRPr="002C1B82" w:rsidRDefault="002C1B82" w:rsidP="002C1B82">
            <w:r w:rsidRPr="002C1B82">
              <w:t>33/33/33 and 50/25/25 ×3</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63BB43B" w14:textId="77777777" w:rsidR="002C1B82" w:rsidRPr="002C1B82" w:rsidRDefault="002C1B82" w:rsidP="002C1B82">
            <w:r w:rsidRPr="002C1B82">
              <w:rPr>
                <w:b/>
                <w:bCs/>
              </w:rPr>
              <w:t>Arbitrary, but symmetric</w:t>
            </w:r>
            <w:r w:rsidRPr="002C1B82">
              <w:t> — and the symmetry is what earns it. Each intensive env sits at the same L1 distance from balanced, so the four gap-matrix rows are structurally comparable.</w:t>
            </w:r>
          </w:p>
        </w:tc>
      </w:tr>
    </w:tbl>
    <w:p w14:paraId="3E05FB7C" w14:textId="77777777" w:rsidR="002C1B82" w:rsidRPr="002C1B82" w:rsidRDefault="002C1B82" w:rsidP="002C1B82">
      <w:pPr>
        <w:rPr>
          <w:b/>
          <w:bCs/>
        </w:rPr>
      </w:pPr>
      <w:r w:rsidRPr="002C1B82">
        <w:rPr>
          <w:b/>
          <w:bCs/>
        </w:rPr>
        <w:t>B. Traffic parameters</w:t>
      </w:r>
    </w:p>
    <w:p w14:paraId="068D8876" w14:textId="77777777" w:rsidR="002C1B82" w:rsidRPr="002C1B82" w:rsidRDefault="002C1B82" w:rsidP="002C1B82">
      <w:r w:rsidRPr="002C1B82">
        <w:t xml:space="preserve">on_rate (1.8286 / 2.7429 / 1.3714), batch_size, and mMTC rate are </w:t>
      </w:r>
      <w:r w:rsidRPr="002C1B82">
        <w:rPr>
          <w:b/>
          <w:bCs/>
        </w:rPr>
        <w:t>derived, not chosen</w:t>
      </w:r>
      <w:r w:rsidRPr="002C1B82">
        <w:t xml:space="preserve"> — solved backwards from the target load given mean task size and duty cycle. I verified the arithmetic: duty = 0.1/(0.1+0.5) = 1/6, mean rate = 0.25 × on_rate, so 0.25 × 1.8286 × 35 = 16.0 PRB/step. Correct in all four files.</w:t>
      </w:r>
    </w:p>
    <w:p w14:paraId="7EB8C41F" w14:textId="77777777" w:rsidR="002C1B82" w:rsidRPr="002C1B82" w:rsidRDefault="002C1B82" w:rsidP="002C1B82">
      <w:r w:rsidRPr="002C1B82">
        <w:t>The inputs to that derivation are the weak part:</w:t>
      </w:r>
    </w:p>
    <w:p w14:paraId="1148CE61" w14:textId="77777777" w:rsidR="002C1B82" w:rsidRPr="002C1B82" w:rsidRDefault="002C1B82" w:rsidP="002C1B82">
      <w:pPr>
        <w:numPr>
          <w:ilvl w:val="0"/>
          <w:numId w:val="1"/>
        </w:numPr>
      </w:pPr>
      <w:r w:rsidRPr="002C1B82">
        <w:rPr>
          <w:b/>
          <w:bCs/>
        </w:rPr>
        <w:t>size_range (20,50) / (2,8) / (1,3)</w:t>
      </w:r>
      <w:r w:rsidRPr="002C1B82">
        <w:t> — the </w:t>
      </w:r>
      <w:r w:rsidRPr="002C1B82">
        <w:rPr>
          <w:i/>
          <w:iCs/>
        </w:rPr>
        <w:t>ordering</w:t>
      </w:r>
      <w:r w:rsidRPr="002C1B82">
        <w:t xml:space="preserve"> (video </w:t>
      </w:r>
      <w:r w:rsidRPr="002C1B82">
        <w:rPr>
          <w:rFonts w:ascii="Cambria Math" w:hAnsi="Cambria Math" w:cs="Cambria Math"/>
        </w:rPr>
        <w:t>≫</w:t>
      </w:r>
      <w:r w:rsidRPr="002C1B82">
        <w:t xml:space="preserve"> control </w:t>
      </w:r>
      <w:r w:rsidRPr="002C1B82">
        <w:rPr>
          <w:rFonts w:ascii="Cambria Math" w:hAnsi="Cambria Math" w:cs="Cambria Math"/>
        </w:rPr>
        <w:t>≫</w:t>
      </w:r>
      <w:r w:rsidRPr="002C1B82">
        <w:t xml:space="preserve"> sensor) is right and the 35/5/2 mean ratio is qualitatively defensible. The specific endpoints and the uniform distribution are arbitrary. Held constant across environments, which is the important property.</w:t>
      </w:r>
    </w:p>
    <w:p w14:paraId="31220F1E" w14:textId="77777777" w:rsidR="002C1B82" w:rsidRPr="002C1B82" w:rsidRDefault="002C1B82" w:rsidP="002C1B82">
      <w:pPr>
        <w:numPr>
          <w:ilvl w:val="0"/>
          <w:numId w:val="1"/>
        </w:numPr>
      </w:pPr>
      <w:r w:rsidRPr="002C1B82">
        <w:rPr>
          <w:b/>
          <w:bCs/>
        </w:rPr>
        <w:t>on_prob=0.5, off_prob=0.1</w:t>
      </w:r>
      <w:r w:rsidRPr="002C1B82">
        <w:t> — arbitrary. Implies mean ON sojourn 2 steps, mean OFF 10, cycle 12. Two consequences you should know: during ON, eMBB alone offers 1.83 × 35 = </w:t>
      </w:r>
      <w:r w:rsidRPr="002C1B82">
        <w:rPr>
          <w:b/>
          <w:bCs/>
        </w:rPr>
        <w:t>64 PRB/step against a 50 PRB budget</w:t>
      </w:r>
      <w:r w:rsidRPr="002C1B82">
        <w:t> (96 in embb_intensive), so eMBB bursts are structurally unservable; and the 12-step burst cycle sits awkwardly under the 20-step eMBB SSR window, which averages only ~1.7 cycles and leaves real phase noise in eMBB's score.</w:t>
      </w:r>
    </w:p>
    <w:p w14:paraId="02AACE5D" w14:textId="77777777" w:rsidR="002C1B82" w:rsidRPr="002C1B82" w:rsidRDefault="002C1B82" w:rsidP="002C1B82">
      <w:pPr>
        <w:numPr>
          <w:ilvl w:val="0"/>
          <w:numId w:val="1"/>
        </w:numPr>
      </w:pPr>
      <w:r w:rsidRPr="002C1B82">
        <w:rPr>
          <w:b/>
          <w:bCs/>
        </w:rPr>
        <w:lastRenderedPageBreak/>
        <w:t>off_rate = 0.1 × on_rate</w:t>
      </w:r>
      <w:r w:rsidRPr="002C1B82">
        <w:t> — an arbitrary 10:1 burst contrast, stated nowhere as a choice.</w:t>
      </w:r>
    </w:p>
    <w:p w14:paraId="6DBB7ECE" w14:textId="77777777" w:rsidR="002C1B82" w:rsidRPr="002C1B82" w:rsidRDefault="002C1B82" w:rsidP="002C1B82">
      <w:pPr>
        <w:numPr>
          <w:ilvl w:val="0"/>
          <w:numId w:val="1"/>
        </w:numPr>
      </w:pPr>
      <w:r w:rsidRPr="002C1B82">
        <w:rPr>
          <w:b/>
          <w:bCs/>
        </w:rPr>
        <w:t>period = 5, constant everywhere</w:t>
      </w:r>
      <w:r w:rsidRPr="002C1B82">
        <w:t> — good practice (only batch_size varies), but it creates the tightest coupling in the whole model. In urllc_intensive, 24 tasks × 5 PRB = </w:t>
      </w:r>
      <w:r w:rsidRPr="002C1B82">
        <w:rPr>
          <w:b/>
          <w:bCs/>
        </w:rPr>
        <w:t>120 PRB arriving instantaneously every 5 steps</w:t>
      </w:r>
      <w:r w:rsidRPr="002C1B82">
        <w:t>, against a 5-step delay SLA. Draining that inside the deadline needs ≥24 PRB/step sustained = 48% of the budget; the native policy learned 50.5%. That is a razor-thin feasibility margin, and it explains why urllc_intensive tops out at 0.944 URLLC SSR rather than 1.0. It's arguably the most interesting property of your setup — but it arrived by accident, not by design.</w:t>
      </w:r>
    </w:p>
    <w:p w14:paraId="4CFC8772" w14:textId="77777777" w:rsidR="002C1B82" w:rsidRPr="002C1B82" w:rsidRDefault="002C1B82" w:rsidP="002C1B82">
      <w:pPr>
        <w:rPr>
          <w:b/>
          <w:bCs/>
        </w:rPr>
      </w:pPr>
      <w:r w:rsidRPr="002C1B82">
        <w:rPr>
          <w:b/>
          <w:bCs/>
        </w:rPr>
        <w:t>C. SLA thresholds — the best-justified group</w:t>
      </w:r>
    </w:p>
    <w:p w14:paraId="0EE4EC78" w14:textId="77777777" w:rsidR="002C1B82" w:rsidRPr="002C1B82" w:rsidRDefault="002C1B82" w:rsidP="002C1B82">
      <w:r w:rsidRPr="002C1B82">
        <w:t xml:space="preserve">max_delay=5 is anchored to 3GPP (1–10 ms URLLC user-plane) via an explicit 1 step = 1 TTI = 1 ms timebase. All three were then </w:t>
      </w:r>
      <w:r w:rsidRPr="002C1B82">
        <w:rPr>
          <w:b/>
          <w:bCs/>
        </w:rPr>
        <w:t>calibrated by sweep</w:t>
      </w:r>
      <w:r w:rsidRPr="002C1B82">
        <w:t xml:space="preserve"> against a demand-proportional and a fixed policy across all four envs, targeting 0.75–0.99 for the good policy, and the resulting table is in the source. Globally fixed across environments, with the correct reason given (otherwise "SSR" denotes different things per env and the gap is uninterpretable).</w:t>
      </w:r>
    </w:p>
    <w:p w14:paraId="7F507914" w14:textId="77777777" w:rsidR="002C1B82" w:rsidRPr="002C1B82" w:rsidRDefault="002C1B82" w:rsidP="002C1B82">
      <w:r w:rsidRPr="002C1B82">
        <w:t xml:space="preserve">One structural artifact you should state explicitly: eMBB's target is min(min_rate × window, demand_w) = min(200, demand). eMBB demand over 20 steps is 240–480 PRB in every environment, so the target is </w:t>
      </w:r>
      <w:r w:rsidRPr="002C1B82">
        <w:rPr>
          <w:b/>
          <w:bCs/>
        </w:rPr>
        <w:t>almost always the constant 200</w:t>
      </w:r>
      <w:r w:rsidRPr="002C1B82">
        <w:t>, making eMBB SSR ≈ served/200 — a near-pure function of allocation, nearly independent of the environment. That's why in the first run every balanced-policy cell scored an identical 0.5.</w:t>
      </w:r>
    </w:p>
    <w:p w14:paraId="4D41EB07" w14:textId="77777777" w:rsidR="002C1B82" w:rsidRPr="002C1B82" w:rsidRDefault="002C1B82" w:rsidP="002C1B82">
      <w:pPr>
        <w:rPr>
          <w:b/>
          <w:bCs/>
        </w:rPr>
      </w:pPr>
      <w:r w:rsidRPr="002C1B82">
        <w:rPr>
          <w:b/>
          <w:bCs/>
        </w:rPr>
        <w:t>D. Normalization caps</w:t>
      </w:r>
    </w:p>
    <w:p w14:paraId="74E241A2" w14:textId="77777777" w:rsidR="002C1B82" w:rsidRPr="002C1B82" w:rsidRDefault="002C1B82" w:rsidP="002C1B82">
      <w:r w:rsidRPr="002C1B82">
        <w:t xml:space="preserve">NORM_MAX_DEMAND/QUEUE/WAIT are </w:t>
      </w:r>
      <w:r w:rsidRPr="002C1B82">
        <w:rPr>
          <w:b/>
          <w:bCs/>
        </w:rPr>
        <w:t>measured</w:t>
      </w:r>
      <w:r w:rsidRPr="002C1B82">
        <w:t>, not guessed — p99 of each signal pooled across all four envs under a near-optimal policy — and globally fixed, with the transfer-validity argument documented. Strongest-justified block in the codebase. The p99 choice itself is conventional and unswept, which is fine.</w:t>
      </w:r>
    </w:p>
    <w:p w14:paraId="26FCD8BE" w14:textId="77777777" w:rsidR="002C1B82" w:rsidRPr="002C1B82" w:rsidRDefault="002C1B82" w:rsidP="002C1B82">
      <w:pPr>
        <w:rPr>
          <w:b/>
          <w:bCs/>
        </w:rPr>
      </w:pPr>
      <w:r w:rsidRPr="002C1B82">
        <w:rPr>
          <w:b/>
          <w:bCs/>
        </w:rPr>
        <w:t>E. Reward</w:t>
      </w:r>
    </w:p>
    <w:p w14:paraId="4D13B249" w14:textId="77777777" w:rsidR="002C1B82" w:rsidRPr="002C1B82" w:rsidRDefault="002C1B82" w:rsidP="002C1B82">
      <w:r w:rsidRPr="002C1B82">
        <w:t>R = Σ SSR_i − λ Σ q̂_i is argued from Zangooei et al. with the rejected alternatives named — genuinely justified, unusually well for a student project. Equal slice weighting is explicitly defended.</w:t>
      </w:r>
    </w:p>
    <w:p w14:paraId="07AB7C61" w14:textId="77777777" w:rsidR="002C1B82" w:rsidRPr="002C1B82" w:rsidRDefault="002C1B82" w:rsidP="002C1B82">
      <w:r w:rsidRPr="002C1B82">
        <w:rPr>
          <w:b/>
          <w:bCs/>
        </w:rPr>
        <w:t>LAMBDA_QUEUE = 0.1 is not justified.</w:t>
      </w:r>
      <w:r w:rsidRPr="002C1B82">
        <w:t xml:space="preserve"> The comment says "keep it small relative to the SSR term, whose range is 0–3", which bounds it loosely but doesn't pick 0.1 over 0.05 or 0.2. It's the only free scalar in your objective; a 3-point sweep would close this cheaply. STARVE_SERVICE_THRESHOLD = 0.1 is diagnostic-only now and affects nothing.</w:t>
      </w:r>
    </w:p>
    <w:p w14:paraId="58CF5141" w14:textId="77777777" w:rsidR="002C1B82" w:rsidRPr="002C1B82" w:rsidRDefault="002C1B82" w:rsidP="002C1B82">
      <w:pPr>
        <w:rPr>
          <w:b/>
          <w:bCs/>
        </w:rPr>
      </w:pPr>
      <w:r w:rsidRPr="002C1B82">
        <w:rPr>
          <w:b/>
          <w:bCs/>
        </w:rPr>
        <w:lastRenderedPageBreak/>
        <w:t>F. DQN hyperparameters</w:t>
      </w:r>
    </w:p>
    <w:p w14:paraId="246D1769" w14:textId="77777777" w:rsidR="002C1B82" w:rsidRPr="002C1B82" w:rsidRDefault="002C1B82" w:rsidP="002C1B82">
      <w:r w:rsidRPr="002C1B82">
        <w:t xml:space="preserve">lr=1e-3, gamma=0.99, batch_size=64, buffer_size=10000, 64×64 hidden, epsilon_min=0.05, target_update_freq=10 are </w:t>
      </w:r>
      <w:r w:rsidRPr="002C1B82">
        <w:rPr>
          <w:b/>
          <w:bCs/>
        </w:rPr>
        <w:t>all library defaults, none swept</w:t>
      </w:r>
      <w:r w:rsidRPr="002C1B82">
        <w:t>. Two are defensible post-hoc, two are questionable:</w:t>
      </w:r>
    </w:p>
    <w:p w14:paraId="0827E719" w14:textId="77777777" w:rsidR="002C1B82" w:rsidRPr="002C1B82" w:rsidRDefault="002C1B82" w:rsidP="002C1B82">
      <w:pPr>
        <w:numPr>
          <w:ilvl w:val="0"/>
          <w:numId w:val="2"/>
        </w:numPr>
      </w:pPr>
      <w:r w:rsidRPr="002C1B82">
        <w:t>gamma=0.99 → effective horizon 1/(1−γ) = 100 steps, which coincidentally matches mMTC's buffer timescale. Worth stating as justification.</w:t>
      </w:r>
    </w:p>
    <w:p w14:paraId="7DD95649" w14:textId="77777777" w:rsidR="002C1B82" w:rsidRPr="002C1B82" w:rsidRDefault="002C1B82" w:rsidP="002C1B82">
      <w:pPr>
        <w:numPr>
          <w:ilvl w:val="0"/>
          <w:numId w:val="2"/>
        </w:numPr>
      </w:pPr>
      <w:r w:rsidRPr="002C1B82">
        <w:t>Action grid step=5 → 36 actions, each slice ≥5 PRB = </w:t>
      </w:r>
      <w:r w:rsidRPr="002C1B82">
        <w:rPr>
          <w:b/>
          <w:bCs/>
        </w:rPr>
        <w:t>≥10% of budget by construction</w:t>
      </w:r>
      <w:r w:rsidRPr="002C1B82">
        <w:t>. This is why literal zero-allocation starvation cannot occur (already noted in Reward.py), and it means your action space encodes a fairness floor you never claimed to impose.</w:t>
      </w:r>
    </w:p>
    <w:p w14:paraId="15D0352B" w14:textId="77777777" w:rsidR="002C1B82" w:rsidRPr="002C1B82" w:rsidRDefault="002C1B82" w:rsidP="002C1B82">
      <w:pPr>
        <w:numPr>
          <w:ilvl w:val="0"/>
          <w:numId w:val="2"/>
        </w:numPr>
      </w:pPr>
      <w:r w:rsidRPr="002C1B82">
        <w:rPr>
          <w:b/>
          <w:bCs/>
        </w:rPr>
        <w:t>buffer_size=10000 against 150,000 training steps</w:t>
      </w:r>
      <w:r w:rsidRPr="002C1B82">
        <w:t> — the replay buffer holds only the most recent 6.7% of experience. That's short, and it biases learning toward recent on-policy data.</w:t>
      </w:r>
    </w:p>
    <w:p w14:paraId="6F9475D4" w14:textId="77777777" w:rsidR="002C1B82" w:rsidRPr="002C1B82" w:rsidRDefault="002C1B82" w:rsidP="002C1B82">
      <w:pPr>
        <w:numPr>
          <w:ilvl w:val="0"/>
          <w:numId w:val="2"/>
        </w:numPr>
      </w:pPr>
      <w:r w:rsidRPr="002C1B82">
        <w:rPr>
          <w:b/>
          <w:bCs/>
        </w:rPr>
        <w:t>target_update_freq=10 steps</w:t>
      </w:r>
      <w:r w:rsidRPr="002C1B82">
        <w:t> is aggressive for DQN (typical is 100–1000) and is a plausible contributor to the seed instability.</w:t>
      </w:r>
    </w:p>
    <w:p w14:paraId="2D794399" w14:textId="77777777" w:rsidR="002C1B82" w:rsidRPr="002C1B82" w:rsidRDefault="002C1B82" w:rsidP="002C1B82">
      <w:pPr>
        <w:rPr>
          <w:b/>
          <w:bCs/>
        </w:rPr>
      </w:pPr>
      <w:r w:rsidRPr="002C1B82">
        <w:rPr>
          <w:b/>
          <w:bCs/>
        </w:rPr>
        <w:t>G. Experiment protocol</w:t>
      </w:r>
    </w:p>
    <w:p w14:paraId="2023088B" w14:textId="77777777" w:rsidR="002C1B82" w:rsidRPr="002C1B82" w:rsidRDefault="002C1B82" w:rsidP="002C1B82">
      <w:r w:rsidRPr="002C1B82">
        <w:t xml:space="preserve">EXPLORE_FRACTION=0.6 and the derived epsilon_decay are now </w:t>
      </w:r>
      <w:r w:rsidRPr="002C1B82">
        <w:rPr>
          <w:b/>
          <w:bCs/>
        </w:rPr>
        <w:t>justified by construction</w:t>
      </w:r>
      <w:r w:rsidRPr="002C1B82">
        <w:t xml:space="preserve"> — the schedule adapts to training length instead of freezing at episode 12. Confirmed working: urllc/mmtc gained +280 to +430 reward over training.</w:t>
      </w:r>
    </w:p>
    <w:p w14:paraId="7B0B8CAB" w14:textId="77777777" w:rsidR="002C1B82" w:rsidRPr="002C1B82" w:rsidRDefault="002C1B82" w:rsidP="002C1B82">
      <w:r w:rsidRPr="002C1B82">
        <w:t xml:space="preserve">train_episodes=300 is </w:t>
      </w:r>
      <w:r w:rsidRPr="002C1B82">
        <w:rPr>
          <w:b/>
          <w:bCs/>
        </w:rPr>
        <w:t>empirically justified</w:t>
      </w:r>
      <w:r w:rsidRPr="002C1B82">
        <w:t xml:space="preserve"> by the convergence check (flat last-100 with tail sd 10–70). eval_episodes=20 × 500 steps = 10,000 evaluation steps per cell is ample. Evaluation seed keyed to the environment only is a correct and important design choice.</w:t>
      </w:r>
    </w:p>
    <w:p w14:paraId="0520639A" w14:textId="77777777" w:rsidR="002C1B82" w:rsidRPr="002C1B82" w:rsidRDefault="002C1B82" w:rsidP="002C1B82">
      <w:r w:rsidRPr="002C1B82">
        <w:rPr>
          <w:b/>
          <w:bCs/>
        </w:rPr>
        <w:t>N_SEEDS=3 is the binding weakness</w:t>
      </w:r>
      <w:r w:rsidRPr="002C1B82">
        <w:t xml:space="preserve">, and two things make it worse. First, the significance test uses 2 SEM, which is a normal-approximation threshold; with n=3 the correct critical value is t₀.₉₇₅,₂ = </w:t>
      </w:r>
      <w:r w:rsidRPr="002C1B82">
        <w:rPr>
          <w:b/>
          <w:bCs/>
        </w:rPr>
        <w:t>4.30</w:t>
      </w:r>
      <w:r w:rsidRPr="002C1B82">
        <w:t xml:space="preserve">, so 2 SEM is roughly twice as permissive as it looks and your "2 of 12 significant" is optimistic. Second, and more serious: embb seed 1 scored </w:t>
      </w:r>
      <w:r w:rsidRPr="002C1B82">
        <w:rPr>
          <w:b/>
          <w:bCs/>
        </w:rPr>
        <w:t>0.789 SSR on held-out traffic while reaching 1449 training reward</w:t>
      </w:r>
      <w:r w:rsidRPr="002C1B82">
        <w:t xml:space="preserve"> — the same as its siblings that scored 0.992 and 0.998. Each policy sees exactly one training arrival realisation, so that seed overfit its own traffic and the reward could not detect it. That single seed produces the entire embb row's variance and all three negative gaps in the embb column.</w:t>
      </w:r>
    </w:p>
    <w:p w14:paraId="4699B894" w14:textId="77777777" w:rsidR="002C1B82" w:rsidRPr="002C1B82" w:rsidRDefault="002C1B82" w:rsidP="002C1B82">
      <w:pPr>
        <w:rPr>
          <w:b/>
          <w:bCs/>
        </w:rPr>
      </w:pPr>
      <w:r w:rsidRPr="002C1B82">
        <w:rPr>
          <w:b/>
          <w:bCs/>
        </w:rPr>
        <w:t>H. Distance metrics</w:t>
      </w:r>
    </w:p>
    <w:p w14:paraId="124AD0FF" w14:textId="77777777" w:rsidR="002C1B82" w:rsidRPr="002C1B82" w:rsidRDefault="002C1B82" w:rsidP="002C1B82">
      <w:pPr>
        <w:numPr>
          <w:ilvl w:val="0"/>
          <w:numId w:val="3"/>
        </w:numPr>
      </w:pPr>
      <w:r w:rsidRPr="002C1B82">
        <w:rPr>
          <w:b/>
          <w:bCs/>
        </w:rPr>
        <w:t>KL eps=1e-6 directly sets the saturation ceiling</w:t>
      </w:r>
      <w:r w:rsidRPr="002C1B82">
        <w:t xml:space="preserve"> at ~ln(1/eps) ≈ 13.8. Your first run pinned there; the current run spans 4.06–11.94, so it's partly informative now </w:t>
      </w:r>
      <w:r w:rsidRPr="002C1B82">
        <w:lastRenderedPageBreak/>
        <w:t>— but the </w:t>
      </w:r>
      <w:r w:rsidRPr="002C1B82">
        <w:rPr>
          <w:i/>
          <w:iCs/>
        </w:rPr>
        <w:t>magnitude</w:t>
      </w:r>
      <w:r w:rsidRPr="002C1B82">
        <w:t> is still an artifact of a parameter you chose, not a property of the policies. Report it as CLAUDE.md asks, with this caveat, and lead with W1.</w:t>
      </w:r>
    </w:p>
    <w:p w14:paraId="5B408833" w14:textId="77777777" w:rsidR="002C1B82" w:rsidRPr="002C1B82" w:rsidRDefault="002C1B82" w:rsidP="002C1B82">
      <w:pPr>
        <w:numPr>
          <w:ilvl w:val="0"/>
          <w:numId w:val="3"/>
        </w:numPr>
      </w:pPr>
      <w:r w:rsidRPr="002C1B82">
        <w:t>n_quantiles=1000 against 30,000 pooled samples — fine, no meaningful discretisation error.</w:t>
      </w:r>
    </w:p>
    <w:p w14:paraId="55B5E3E5" w14:textId="77777777" w:rsidR="002C1B82" w:rsidRPr="002C1B82" w:rsidRDefault="002C1B82" w:rsidP="002C1B82">
      <w:pPr>
        <w:numPr>
          <w:ilvl w:val="0"/>
          <w:numId w:val="3"/>
        </w:numPr>
      </w:pPr>
      <w:r w:rsidRPr="002C1B82">
        <w:t>Pooling seeds by concatenating samples (rather than averaging probability vectors) is the right call and is documented.</w:t>
      </w:r>
    </w:p>
    <w:p w14:paraId="59EAA8B9" w14:textId="77777777" w:rsidR="002C1B82" w:rsidRPr="002C1B82" w:rsidRDefault="002C1B82" w:rsidP="002C1B82">
      <w:r w:rsidRPr="002C1B82">
        <w:t>I verified each claim in your source against the text:</w:t>
      </w:r>
    </w:p>
    <w:p w14:paraId="1A57B4F9" w14:textId="77777777" w:rsidR="002C1B82" w:rsidRPr="002C1B82" w:rsidRDefault="002C1B82" w:rsidP="002C1B82">
      <w:pPr>
        <w:numPr>
          <w:ilvl w:val="0"/>
          <w:numId w:val="4"/>
        </w:numPr>
      </w:pPr>
      <w:r w:rsidRPr="002C1B82">
        <w:t>Reward.py on [4] weighted SE+SSR — Table I confirms "weighted sum of spectrum efficiency and SSR". ✓</w:t>
      </w:r>
    </w:p>
    <w:p w14:paraId="31C68049" w14:textId="77777777" w:rsidR="002C1B82" w:rsidRPr="002C1B82" w:rsidRDefault="002C1B82" w:rsidP="002C1B82">
      <w:pPr>
        <w:numPr>
          <w:ilvl w:val="0"/>
          <w:numId w:val="4"/>
        </w:numPr>
      </w:pPr>
      <w:r w:rsidRPr="002C1B82">
        <w:t>The [5] rejection quote — verbatim in Section III-A: "if a linear combination of SSR and SE is used, it could lead to a blind sacrifice of SLA in exchange for an increase in SE". ✓</w:t>
      </w:r>
    </w:p>
    <w:p w14:paraId="27344378" w14:textId="77777777" w:rsidR="002C1B82" w:rsidRPr="002C1B82" w:rsidRDefault="002C1B82" w:rsidP="002C1B82">
      <w:pPr>
        <w:numPr>
          <w:ilvl w:val="0"/>
          <w:numId w:val="4"/>
        </w:numPr>
      </w:pPr>
      <w:r w:rsidRPr="002C1B82">
        <w:t>SSR × SE as [9] — "the reward is defined as SSR × SE in [9] to keep both metrics high at the same time". ✓</w:t>
      </w:r>
    </w:p>
    <w:p w14:paraId="1B0D08FF" w14:textId="77777777" w:rsidR="002C1B82" w:rsidRPr="002C1B82" w:rsidRDefault="002C1B82" w:rsidP="002C1B82">
      <w:pPr>
        <w:numPr>
          <w:ilvl w:val="0"/>
          <w:numId w:val="4"/>
        </w:numPr>
      </w:pPr>
      <w:r w:rsidRPr="002C1B82">
        <w:t>SLA satisfaction as [6] — Table I reward column for [6] is "SLA satisfaction". ✓</w:t>
      </w:r>
    </w:p>
    <w:p w14:paraId="5E1ECD2A" w14:textId="77777777" w:rsidR="002C1B82" w:rsidRPr="002C1B82" w:rsidRDefault="002C1B82" w:rsidP="002C1B82">
      <w:pPr>
        <w:numPr>
          <w:ilvl w:val="0"/>
          <w:numId w:val="4"/>
        </w:numPr>
      </w:pPr>
      <w:r w:rsidRPr="002C1B82">
        <w:t>The Section IV-C criticism in your SLA block — verbatim, and it </w:t>
      </w:r>
      <w:r w:rsidRPr="002C1B82">
        <w:rPr>
          <w:i/>
          <w:iCs/>
        </w:rPr>
        <w:t>is</w:t>
      </w:r>
      <w:r w:rsidRPr="002C1B82">
        <w:t> in IV-C ("Flexibility in Number of Slices"). ✓</w:t>
      </w:r>
    </w:p>
    <w:p w14:paraId="5EB1BCBE" w14:textId="77777777" w:rsidR="002C1B82" w:rsidRPr="002C1B82" w:rsidRDefault="002C1B82" w:rsidP="002C1B82">
      <w:pPr>
        <w:numPr>
          <w:ilvl w:val="0"/>
          <w:numId w:val="4"/>
        </w:numPr>
      </w:pPr>
      <w:r w:rsidRPr="002C1B82">
        <w:t>[10] throughput-for-eMBB / delay-for-uRLLC, and Table III [12] "minimum data rate and maximum delay". ✓</w:t>
      </w:r>
    </w:p>
    <w:p w14:paraId="63A2A1DC" w14:textId="77777777" w:rsidR="002C1B82" w:rsidRPr="002C1B82" w:rsidRDefault="002C1B82" w:rsidP="002C1B82">
      <w:r w:rsidRPr="002C1B82">
        <w:t xml:space="preserve">Two small overclaims to fix: you call SSR × SE "the survey's preferred single-objective form" — the survey </w:t>
      </w:r>
      <w:r w:rsidRPr="002C1B82">
        <w:rPr>
          <w:i/>
          <w:iCs/>
        </w:rPr>
        <w:t>reports</w:t>
      </w:r>
      <w:r w:rsidRPr="002C1B82">
        <w:t xml:space="preserve"> it, it doesn't endorse it. And you attribute "SLA satisfaction in terms of average buffer length, data rate, and PRB usage" to Table I; it's body text in Section III-A (Table I says just "SLA satisfaction").</w:t>
      </w:r>
    </w:p>
    <w:p w14:paraId="7FE86677" w14:textId="77777777" w:rsidR="00C049F9" w:rsidRDefault="00C049F9"/>
    <w:sectPr w:rsidR="00C04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1712"/>
    <w:multiLevelType w:val="multilevel"/>
    <w:tmpl w:val="A326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60032"/>
    <w:multiLevelType w:val="multilevel"/>
    <w:tmpl w:val="599C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F01DCC"/>
    <w:multiLevelType w:val="multilevel"/>
    <w:tmpl w:val="AC2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B61CE"/>
    <w:multiLevelType w:val="multilevel"/>
    <w:tmpl w:val="B60C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231763">
    <w:abstractNumId w:val="1"/>
  </w:num>
  <w:num w:numId="2" w16cid:durableId="1450705792">
    <w:abstractNumId w:val="0"/>
  </w:num>
  <w:num w:numId="3" w16cid:durableId="861549655">
    <w:abstractNumId w:val="2"/>
  </w:num>
  <w:num w:numId="4" w16cid:durableId="1408188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B82"/>
    <w:rsid w:val="00211D90"/>
    <w:rsid w:val="002C1B82"/>
    <w:rsid w:val="002C6BF3"/>
    <w:rsid w:val="00404CBC"/>
    <w:rsid w:val="005A6E77"/>
    <w:rsid w:val="00C049F9"/>
    <w:rsid w:val="00E71A74"/>
    <w:rsid w:val="00FC316E"/>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9582"/>
  <w15:chartTrackingRefBased/>
  <w15:docId w15:val="{F20E9AA6-1C89-4726-8F32-A07E7E34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B82"/>
    <w:rPr>
      <w:rFonts w:eastAsiaTheme="majorEastAsia" w:cstheme="majorBidi"/>
      <w:color w:val="272727" w:themeColor="text1" w:themeTint="D8"/>
    </w:rPr>
  </w:style>
  <w:style w:type="paragraph" w:styleId="Title">
    <w:name w:val="Title"/>
    <w:basedOn w:val="Normal"/>
    <w:next w:val="Normal"/>
    <w:link w:val="TitleChar"/>
    <w:uiPriority w:val="10"/>
    <w:qFormat/>
    <w:rsid w:val="002C1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B82"/>
    <w:pPr>
      <w:spacing w:before="160"/>
      <w:jc w:val="center"/>
    </w:pPr>
    <w:rPr>
      <w:i/>
      <w:iCs/>
      <w:color w:val="404040" w:themeColor="text1" w:themeTint="BF"/>
    </w:rPr>
  </w:style>
  <w:style w:type="character" w:customStyle="1" w:styleId="QuoteChar">
    <w:name w:val="Quote Char"/>
    <w:basedOn w:val="DefaultParagraphFont"/>
    <w:link w:val="Quote"/>
    <w:uiPriority w:val="29"/>
    <w:rsid w:val="002C1B82"/>
    <w:rPr>
      <w:i/>
      <w:iCs/>
      <w:color w:val="404040" w:themeColor="text1" w:themeTint="BF"/>
    </w:rPr>
  </w:style>
  <w:style w:type="paragraph" w:styleId="ListParagraph">
    <w:name w:val="List Paragraph"/>
    <w:basedOn w:val="Normal"/>
    <w:uiPriority w:val="34"/>
    <w:qFormat/>
    <w:rsid w:val="002C1B82"/>
    <w:pPr>
      <w:ind w:left="720"/>
      <w:contextualSpacing/>
    </w:pPr>
  </w:style>
  <w:style w:type="character" w:styleId="IntenseEmphasis">
    <w:name w:val="Intense Emphasis"/>
    <w:basedOn w:val="DefaultParagraphFont"/>
    <w:uiPriority w:val="21"/>
    <w:qFormat/>
    <w:rsid w:val="002C1B82"/>
    <w:rPr>
      <w:i/>
      <w:iCs/>
      <w:color w:val="0F4761" w:themeColor="accent1" w:themeShade="BF"/>
    </w:rPr>
  </w:style>
  <w:style w:type="paragraph" w:styleId="IntenseQuote">
    <w:name w:val="Intense Quote"/>
    <w:basedOn w:val="Normal"/>
    <w:next w:val="Normal"/>
    <w:link w:val="IntenseQuoteChar"/>
    <w:uiPriority w:val="30"/>
    <w:qFormat/>
    <w:rsid w:val="002C1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B82"/>
    <w:rPr>
      <w:i/>
      <w:iCs/>
      <w:color w:val="0F4761" w:themeColor="accent1" w:themeShade="BF"/>
    </w:rPr>
  </w:style>
  <w:style w:type="character" w:styleId="IntenseReference">
    <w:name w:val="Intense Reference"/>
    <w:basedOn w:val="DefaultParagraphFont"/>
    <w:uiPriority w:val="32"/>
    <w:qFormat/>
    <w:rsid w:val="002C1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1230</Words>
  <Characters>7012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Zhao</dc:creator>
  <cp:keywords/>
  <dc:description/>
  <cp:lastModifiedBy>Mark Zhao</cp:lastModifiedBy>
  <cp:revision>1</cp:revision>
  <dcterms:created xsi:type="dcterms:W3CDTF">2026-09-09T02:08:00Z</dcterms:created>
  <dcterms:modified xsi:type="dcterms:W3CDTF">2026-09-24T02:42:00Z</dcterms:modified>
</cp:coreProperties>
</file>