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总则</w:t>
      </w:r>
    </w:p>
    <w:p>
      <w:r>
        <w:t>本制度适用于公司所有采购活动，包括物资采购、服务采购和工程采购。所有采购活动必须遵循公开、公平、公正的原则。</w:t>
      </w:r>
    </w:p>
    <w:p>
      <w:pPr>
        <w:pStyle w:val="Heading1"/>
      </w:pPr>
      <w:r>
        <w:t>第二章 采购申请</w:t>
      </w:r>
    </w:p>
    <w:p>
      <w:r>
        <w:t>采购申请人填写《采购申请单》，注明采购物品名称、规格、数量、预算金额和交货时间。申请单经部门经理审核签字后，提交采购部。</w:t>
      </w:r>
    </w:p>
    <w:p>
      <w:pPr>
        <w:pStyle w:val="Heading1"/>
      </w:pPr>
      <w:r>
        <w:t>第三章 审批流程</w:t>
      </w:r>
    </w:p>
    <w:p>
      <w:r>
        <w:t>金额5000元以下由部门经理审批；5000至50000元由分管副总审批；50000元以上由总经理审批。紧急采购可先口头审批，后补书面手续。</w:t>
      </w:r>
    </w:p>
    <w:p>
      <w:pPr>
        <w:pStyle w:val="Heading1"/>
      </w:pPr>
      <w:r>
        <w:t>第四章 供应商管理</w:t>
      </w:r>
    </w:p>
    <w:p>
      <w:r>
        <w:t>采购部建立合格供应商名录，定期评估供应商资质、价格、交货能力和售后服务。新供应商需经资质审核、样品测试和现场考察。</w:t>
      </w:r>
    </w:p>
  </w:body>
</w:document>
</file>

<file path=word/_rels/document.xml.rels><?xml version="1.0" encoding="UTF-8" standalone="yes"?>
<Relationships xmlns="http://schemas.openxmlformats.org/package/2006/relationships">
</Relationships>
</file>